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62" w:rsidRDefault="00ED15CE" w:rsidP="008A6FB4">
      <w:pPr>
        <w:pStyle w:val="NurText"/>
      </w:pPr>
      <w:r>
        <w:t>WZW-GF</w:t>
      </w:r>
      <w:r w:rsidR="00107EEB">
        <w:t xml:space="preserve"> (</w:t>
      </w:r>
      <w:r w:rsidR="00AE238D">
        <w:t>15</w:t>
      </w:r>
      <w:r w:rsidR="004C7162">
        <w:t>.02.</w:t>
      </w:r>
      <w:r w:rsidR="00107EEB">
        <w:t>20</w:t>
      </w:r>
      <w:r w:rsidR="00EF5722">
        <w:t>13</w:t>
      </w:r>
      <w:r w:rsidR="00107EEB">
        <w:t>)</w:t>
      </w:r>
      <w:r w:rsidR="00EF5722">
        <w:t xml:space="preserve"> </w:t>
      </w:r>
      <w:r w:rsidR="00EF5722" w:rsidRPr="00EF5722">
        <w:rPr>
          <w:rFonts w:ascii="Arial" w:hAnsi="Arial" w:cs="Arial"/>
          <w:noProof/>
          <w:lang w:eastAsia="de-DE"/>
        </w:rPr>
        <w:drawing>
          <wp:inline distT="0" distB="0" distL="0" distR="0" wp14:anchorId="549B99AE" wp14:editId="70638DA9">
            <wp:extent cx="914400" cy="285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EB" w:rsidRPr="00107EEB" w:rsidRDefault="004C7162" w:rsidP="004C7162">
      <w:pPr>
        <w:pStyle w:val="NurText"/>
        <w:spacing w:before="480"/>
        <w:jc w:val="center"/>
        <w:rPr>
          <w:b/>
          <w:sz w:val="28"/>
        </w:rPr>
      </w:pPr>
      <w:r w:rsidRPr="004C7162">
        <w:rPr>
          <w:b/>
          <w:sz w:val="28"/>
        </w:rPr>
        <w:t>Grundlagen einer Regionalen Innovations</w:t>
      </w:r>
      <w:r>
        <w:rPr>
          <w:b/>
          <w:sz w:val="28"/>
        </w:rPr>
        <w:t>stra</w:t>
      </w:r>
      <w:r w:rsidRPr="004C7162">
        <w:rPr>
          <w:b/>
          <w:sz w:val="28"/>
        </w:rPr>
        <w:t>t</w:t>
      </w:r>
      <w:r>
        <w:rPr>
          <w:b/>
          <w:sz w:val="28"/>
        </w:rPr>
        <w:t xml:space="preserve">egie </w:t>
      </w:r>
      <w:r>
        <w:rPr>
          <w:b/>
          <w:sz w:val="28"/>
        </w:rPr>
        <w:br/>
        <w:t>Sachsen-Anhalt 2014 - 2020</w:t>
      </w:r>
    </w:p>
    <w:p w:rsidR="00107EEB" w:rsidRPr="00107EEB" w:rsidRDefault="004C7162" w:rsidP="00107EEB">
      <w:pPr>
        <w:pStyle w:val="NurText"/>
        <w:spacing w:before="120" w:after="480"/>
        <w:jc w:val="center"/>
        <w:rPr>
          <w:b/>
          <w:sz w:val="24"/>
        </w:rPr>
      </w:pPr>
      <w:r>
        <w:rPr>
          <w:b/>
          <w:sz w:val="24"/>
        </w:rPr>
        <w:t>- Eine erste Einschätzung</w:t>
      </w:r>
      <w:r w:rsidR="003F6314">
        <w:rPr>
          <w:rStyle w:val="Funotenzeichen"/>
          <w:b/>
          <w:sz w:val="24"/>
        </w:rPr>
        <w:footnoteReference w:id="1"/>
      </w:r>
      <w:r>
        <w:rPr>
          <w:b/>
          <w:sz w:val="24"/>
        </w:rPr>
        <w:t xml:space="preserve"> </w:t>
      </w:r>
      <w:r w:rsidR="003E0AAE">
        <w:rPr>
          <w:b/>
          <w:sz w:val="24"/>
        </w:rPr>
        <w:t>und erste Vorschläge für eine Modifikation -</w:t>
      </w:r>
      <w:bookmarkStart w:id="0" w:name="_GoBack"/>
      <w:bookmarkEnd w:id="0"/>
    </w:p>
    <w:p w:rsidR="00BD55C9" w:rsidRDefault="00380F8E" w:rsidP="005F4D2C">
      <w:pPr>
        <w:pStyle w:val="NurText"/>
        <w:spacing w:after="60"/>
        <w:jc w:val="both"/>
      </w:pPr>
      <w:r>
        <w:t>[1</w:t>
      </w:r>
      <w:r w:rsidR="008A6FB4">
        <w:t xml:space="preserve">] </w:t>
      </w:r>
      <w:r w:rsidR="002F6627">
        <w:t>D</w:t>
      </w:r>
      <w:r w:rsidR="00D55CF4">
        <w:t xml:space="preserve">er </w:t>
      </w:r>
      <w:r w:rsidR="0059339E">
        <w:t>Entwurf der R</w:t>
      </w:r>
      <w:r w:rsidR="002F6627">
        <w:t xml:space="preserve">IS-Strategie definiert </w:t>
      </w:r>
      <w:r w:rsidR="002F6627" w:rsidRPr="003F6314">
        <w:t>Leitmärkte</w:t>
      </w:r>
      <w:r w:rsidR="002F6627">
        <w:t xml:space="preserve">, die Spezialisierungsvorteile für die Region bieten könnten, wenn das durch die Studie dokumentierte, </w:t>
      </w:r>
      <w:r w:rsidR="00934FB3">
        <w:t xml:space="preserve">letztlich </w:t>
      </w:r>
      <w:r w:rsidR="0059339E">
        <w:t xml:space="preserve">schon immer in den Blick genommene </w:t>
      </w:r>
      <w:r w:rsidR="002F6627">
        <w:t xml:space="preserve">Innovationspotential, insbesondere durch verstärkte Kooperation </w:t>
      </w:r>
      <w:r w:rsidR="00BD55C9">
        <w:t>zwischen W</w:t>
      </w:r>
      <w:r w:rsidR="002F6627">
        <w:t>issenschaft</w:t>
      </w:r>
      <w:r w:rsidR="00967200">
        <w:t xml:space="preserve"> und Wirtschafts</w:t>
      </w:r>
      <w:r w:rsidR="002F6627">
        <w:t>system - system</w:t>
      </w:r>
      <w:r w:rsidR="002F6627">
        <w:t>a</w:t>
      </w:r>
      <w:r w:rsidR="002F6627">
        <w:t>tischer und institutionell unterstützt - genutzt wird. In der Tendenz ist dieser Ei</w:t>
      </w:r>
      <w:r w:rsidR="002F6627">
        <w:t>n</w:t>
      </w:r>
      <w:r w:rsidR="002F6627">
        <w:t>schätzung, die den Tenor der (Handlungs-)Empfehlungen bestimmt, nicht zu w</w:t>
      </w:r>
      <w:r w:rsidR="002F6627">
        <w:t>i</w:t>
      </w:r>
      <w:r w:rsidR="002F6627">
        <w:t xml:space="preserve">dersprechen. </w:t>
      </w:r>
      <w:r w:rsidR="003F6314">
        <w:t>Es ist damit aber eine g</w:t>
      </w:r>
      <w:r w:rsidR="007E3B20">
        <w:t>roße</w:t>
      </w:r>
      <w:r w:rsidR="003F6314">
        <w:t xml:space="preserve">, </w:t>
      </w:r>
      <w:r w:rsidR="00BD55C9">
        <w:t xml:space="preserve">mehr oder weniger </w:t>
      </w:r>
      <w:r w:rsidR="003F6314">
        <w:t xml:space="preserve">konkret </w:t>
      </w:r>
      <w:r w:rsidR="007E3B20">
        <w:t>ausfor</w:t>
      </w:r>
      <w:r w:rsidR="00BD55C9">
        <w:t>m</w:t>
      </w:r>
      <w:r w:rsidR="00BD55C9">
        <w:t>u</w:t>
      </w:r>
      <w:r w:rsidR="00BD55C9">
        <w:t xml:space="preserve">lierte, qualitativ </w:t>
      </w:r>
      <w:r w:rsidR="00C210CC">
        <w:t xml:space="preserve">aber </w:t>
      </w:r>
      <w:r w:rsidR="00BD55C9">
        <w:t xml:space="preserve">neue </w:t>
      </w:r>
      <w:r w:rsidR="003F6314">
        <w:t xml:space="preserve">Anforderung an das Hochschulsystem </w:t>
      </w:r>
      <w:r w:rsidR="0059339E">
        <w:t>mit dem inn</w:t>
      </w:r>
      <w:r w:rsidR="0059339E">
        <w:t>e</w:t>
      </w:r>
      <w:r w:rsidR="0059339E">
        <w:t xml:space="preserve">wohnenden Risiko </w:t>
      </w:r>
      <w:r w:rsidR="003F6314">
        <w:t>formuliert</w:t>
      </w:r>
      <w:r w:rsidR="0059339E">
        <w:t xml:space="preserve">, die Hochschulen zu überfordern. </w:t>
      </w:r>
      <w:r w:rsidR="00967200">
        <w:t>Hinsichtlich and</w:t>
      </w:r>
      <w:r w:rsidR="00967200">
        <w:t>e</w:t>
      </w:r>
      <w:r w:rsidR="00967200">
        <w:t>rer, also nicht hochschulischer gesellschaftlicher Bereiche bleiben die Anforderu</w:t>
      </w:r>
      <w:r w:rsidR="00967200">
        <w:t>n</w:t>
      </w:r>
      <w:r w:rsidR="00967200">
        <w:t>gen / Handlungs</w:t>
      </w:r>
      <w:r w:rsidR="00A26BF8">
        <w:t xml:space="preserve">vorschläge </w:t>
      </w:r>
      <w:r w:rsidR="00967200">
        <w:t xml:space="preserve">möglicherweise in Ermanglung konkreter Adressaten </w:t>
      </w:r>
      <w:r w:rsidR="00ED15CE">
        <w:t xml:space="preserve">und Einwirkungsmöglichkeiten </w:t>
      </w:r>
      <w:r w:rsidR="00967200">
        <w:t xml:space="preserve">vergleichsweise vage. </w:t>
      </w:r>
    </w:p>
    <w:p w:rsidR="005F4D2C" w:rsidRDefault="00A26BF8" w:rsidP="005F4D2C">
      <w:pPr>
        <w:pStyle w:val="NurText"/>
        <w:spacing w:after="60"/>
        <w:jc w:val="both"/>
      </w:pPr>
      <w:r>
        <w:t xml:space="preserve">[2] </w:t>
      </w:r>
      <w:r w:rsidR="00C210CC">
        <w:t>Im Übrigen wird a</w:t>
      </w:r>
      <w:r w:rsidR="00BD495A">
        <w:t>lten Kritikpunkten am Hochschulbereich (Studienabbrecher, MINT-Fächer, Fachkräftebedarf etc.) neue Nahrung gegeben</w:t>
      </w:r>
      <w:r w:rsidR="000767C3">
        <w:t xml:space="preserve">, </w:t>
      </w:r>
      <w:r w:rsidR="00BD495A">
        <w:t xml:space="preserve">dabei </w:t>
      </w:r>
      <w:r w:rsidR="000767C3">
        <w:t xml:space="preserve">aber </w:t>
      </w:r>
      <w:r w:rsidR="00BD495A">
        <w:t>nicht ausreichend d</w:t>
      </w:r>
      <w:r w:rsidR="0059339E">
        <w:t xml:space="preserve">ie </w:t>
      </w:r>
      <w:r w:rsidR="00C210CC">
        <w:t xml:space="preserve">verursachenden </w:t>
      </w:r>
      <w:r w:rsidR="0059339E">
        <w:t xml:space="preserve">gesamtgesellschaftlichen </w:t>
      </w:r>
      <w:r w:rsidR="00C210CC">
        <w:t>Bedingungen</w:t>
      </w:r>
      <w:r w:rsidR="0059339E">
        <w:t xml:space="preserve"> </w:t>
      </w:r>
      <w:r w:rsidR="00C210CC">
        <w:t xml:space="preserve">analysiert </w:t>
      </w:r>
      <w:r w:rsidR="0059339E">
        <w:t xml:space="preserve">und </w:t>
      </w:r>
      <w:r w:rsidR="00967200">
        <w:t>damit n</w:t>
      </w:r>
      <w:r w:rsidR="0059339E">
        <w:t xml:space="preserve">icht </w:t>
      </w:r>
      <w:r w:rsidR="00BD55C9">
        <w:t xml:space="preserve">die </w:t>
      </w:r>
      <w:r w:rsidR="00C210CC">
        <w:t xml:space="preserve">Voraussetzungen </w:t>
      </w:r>
      <w:r w:rsidR="00967200">
        <w:t xml:space="preserve">geschaffen, </w:t>
      </w:r>
      <w:r w:rsidR="00384C1C">
        <w:t xml:space="preserve">über die RIS </w:t>
      </w:r>
      <w:r w:rsidR="0059339E">
        <w:t>umfassende</w:t>
      </w:r>
      <w:r w:rsidR="00BD55C9">
        <w:t xml:space="preserve"> gesel</w:t>
      </w:r>
      <w:r w:rsidR="00BD55C9">
        <w:t>l</w:t>
      </w:r>
      <w:r w:rsidR="00BD55C9">
        <w:t>schaftliche</w:t>
      </w:r>
      <w:r w:rsidR="0059339E">
        <w:t xml:space="preserve"> Lösungsansätze </w:t>
      </w:r>
      <w:r w:rsidR="00967200">
        <w:t>verfolgen zu können</w:t>
      </w:r>
      <w:r w:rsidR="00384C1C">
        <w:t>. So erscheint z. B.</w:t>
      </w:r>
      <w:r w:rsidR="00967200">
        <w:t xml:space="preserve"> </w:t>
      </w:r>
      <w:r w:rsidR="00384C1C">
        <w:t>die frühkindl</w:t>
      </w:r>
      <w:r w:rsidR="00384C1C">
        <w:t>i</w:t>
      </w:r>
      <w:r w:rsidR="00ED15CE">
        <w:t>che Bildung, in diesem Sinne</w:t>
      </w:r>
      <w:r w:rsidR="00ED15CE" w:rsidRPr="00384C1C">
        <w:t xml:space="preserve"> </w:t>
      </w:r>
      <w:r w:rsidR="00967200">
        <w:t>wenig kontexturiert</w:t>
      </w:r>
      <w:r w:rsidR="00384C1C">
        <w:t>,</w:t>
      </w:r>
      <w:r w:rsidR="00967200">
        <w:t xml:space="preserve"> </w:t>
      </w:r>
      <w:r w:rsidR="0059339E">
        <w:t xml:space="preserve">mehr </w:t>
      </w:r>
      <w:r w:rsidR="00BD55C9">
        <w:t xml:space="preserve">als </w:t>
      </w:r>
      <w:r w:rsidR="0059339E">
        <w:t xml:space="preserve">eine politische Setzung als aus Expertise </w:t>
      </w:r>
      <w:r w:rsidR="00BF0449">
        <w:t>a</w:t>
      </w:r>
      <w:r w:rsidR="0059339E">
        <w:t>bg</w:t>
      </w:r>
      <w:r w:rsidR="00BF0449">
        <w:t>e</w:t>
      </w:r>
      <w:r w:rsidR="0059339E">
        <w:t>leitet</w:t>
      </w:r>
      <w:r w:rsidR="00384C1C">
        <w:t xml:space="preserve"> und strategisch auf Lösungen orientiert.</w:t>
      </w:r>
      <w:r w:rsidR="0059339E">
        <w:t xml:space="preserve"> </w:t>
      </w:r>
    </w:p>
    <w:p w:rsidR="006D6FE8" w:rsidRDefault="00F63275" w:rsidP="00A26BF8">
      <w:pPr>
        <w:pStyle w:val="NurText"/>
        <w:spacing w:after="60"/>
        <w:jc w:val="both"/>
      </w:pPr>
      <w:r>
        <w:t xml:space="preserve">[3] </w:t>
      </w:r>
      <w:r w:rsidR="00A26BF8">
        <w:t xml:space="preserve">In den kommenden Verhandlungen zu den Zielvereinbarungen wird die in der regionalen Innovationsstrategie konturierte Anforderung </w:t>
      </w:r>
      <w:r w:rsidR="00ED15CE">
        <w:t xml:space="preserve">so oder so </w:t>
      </w:r>
      <w:r w:rsidR="00A26BF8">
        <w:t>eine prom</w:t>
      </w:r>
      <w:r w:rsidR="00A26BF8">
        <w:t>i</w:t>
      </w:r>
      <w:r w:rsidR="00A26BF8">
        <w:t xml:space="preserve">nente Rolle spielen. In der </w:t>
      </w:r>
      <w:r w:rsidR="00BF0449">
        <w:t xml:space="preserve">Stoßrichtung </w:t>
      </w:r>
      <w:r w:rsidR="00A26BF8">
        <w:t xml:space="preserve">muss sie von den Hochschulen </w:t>
      </w:r>
      <w:r w:rsidR="003F6314">
        <w:t>akzeptiert</w:t>
      </w:r>
      <w:r w:rsidR="00A26BF8">
        <w:t xml:space="preserve"> werde,</w:t>
      </w:r>
      <w:r w:rsidR="00BF0449">
        <w:t xml:space="preserve"> aber </w:t>
      </w:r>
      <w:r w:rsidR="00A26BF8">
        <w:t xml:space="preserve">ohne Modifikation und ohne Hinweise auf </w:t>
      </w:r>
      <w:r w:rsidR="00BF0449">
        <w:t xml:space="preserve">best practice-Bezüge </w:t>
      </w:r>
      <w:r w:rsidR="00A26BF8">
        <w:t>e</w:t>
      </w:r>
      <w:r w:rsidR="00A26BF8">
        <w:t>r</w:t>
      </w:r>
      <w:r w:rsidR="00A26BF8">
        <w:t>schein</w:t>
      </w:r>
      <w:r w:rsidR="00384C1C">
        <w:t>en</w:t>
      </w:r>
      <w:r w:rsidR="00A26BF8">
        <w:t xml:space="preserve"> die Vorschläge nicht </w:t>
      </w:r>
      <w:r w:rsidR="00ED15CE">
        <w:t xml:space="preserve">ausreichend </w:t>
      </w:r>
      <w:r w:rsidR="00A26BF8">
        <w:t xml:space="preserve">realisierbar. </w:t>
      </w:r>
      <w:r w:rsidR="00384C1C">
        <w:t xml:space="preserve">Es </w:t>
      </w:r>
      <w:r w:rsidR="00ED15CE">
        <w:t xml:space="preserve">ist </w:t>
      </w:r>
      <w:r w:rsidR="00A26BF8">
        <w:t>ein</w:t>
      </w:r>
      <w:r w:rsidR="00ED15CE">
        <w:t xml:space="preserve">, in Ansätzen schon skizzierter, </w:t>
      </w:r>
      <w:r w:rsidR="00A26BF8">
        <w:t>anspruchsvoller Abstimmungs- und Umsetzungsprozess vor</w:t>
      </w:r>
      <w:r w:rsidR="00ED15CE">
        <w:t>z</w:t>
      </w:r>
      <w:r w:rsidR="00ED15CE">
        <w:t>u</w:t>
      </w:r>
      <w:r w:rsidR="00A26BF8">
        <w:t xml:space="preserve">sehen, der die Realisierbarkeit der Vorschläge wesentlich erhöhen </w:t>
      </w:r>
      <w:r w:rsidR="00ED15CE">
        <w:t>und die Ziele konkret</w:t>
      </w:r>
      <w:r w:rsidR="006D6FE8">
        <w:t>er</w:t>
      </w:r>
      <w:r w:rsidR="00ED15CE">
        <w:t xml:space="preserve"> bestimmen muss. </w:t>
      </w:r>
      <w:r>
        <w:t>Insofern ist es wichtig, dass sich die Hochschulen st</w:t>
      </w:r>
      <w:r w:rsidR="00384C1C">
        <w:t xml:space="preserve">ark </w:t>
      </w:r>
      <w:r>
        <w:t>in diesen, die künftigen Förderbedingungen (Richtlinien) bestimmenden Prozess und in den vorgeschlagenen Gremien (</w:t>
      </w:r>
      <w:r w:rsidRPr="009A11FE">
        <w:rPr>
          <w:i/>
        </w:rPr>
        <w:t>Lenkungskreis / Beirat</w:t>
      </w:r>
      <w:r>
        <w:t xml:space="preserve">) engagieren. Hierbei </w:t>
      </w:r>
      <w:r w:rsidR="00A26BF8">
        <w:t xml:space="preserve">sind Ressourcen </w:t>
      </w:r>
      <w:r w:rsidR="00E9728A">
        <w:t>(Expertise, Moderation, Instrumentarien der Kommunik</w:t>
      </w:r>
      <w:r w:rsidR="00E9728A">
        <w:t>a</w:t>
      </w:r>
      <w:r w:rsidR="00E9728A">
        <w:t xml:space="preserve">tion) vorzusehen. </w:t>
      </w:r>
    </w:p>
    <w:p w:rsidR="006D6FE8" w:rsidRDefault="006D6FE8" w:rsidP="006D6FE8">
      <w:pPr>
        <w:pStyle w:val="NurText"/>
        <w:spacing w:after="60"/>
        <w:jc w:val="both"/>
      </w:pPr>
      <w:r>
        <w:t xml:space="preserve">[3a] </w:t>
      </w:r>
      <w:r w:rsidR="00E9728A">
        <w:t xml:space="preserve">Kooperation zwischen Wissenschaft und Wirtschaft durch externen Einfluss verbessern zu wollen, heißt dabei von Anfang an die Wirtschaftsseite, </w:t>
      </w:r>
      <w:r w:rsidR="00F63275">
        <w:t xml:space="preserve">d. h. </w:t>
      </w:r>
      <w:r w:rsidR="00E9728A">
        <w:t>strat</w:t>
      </w:r>
      <w:r w:rsidR="00E9728A">
        <w:t>i</w:t>
      </w:r>
      <w:r w:rsidR="00E9728A">
        <w:t>fiziert Unternehmen, im Boot zu haben. Die Hemmnisse</w:t>
      </w:r>
      <w:r w:rsidR="00F63275">
        <w:rPr>
          <w:rStyle w:val="Funotenzeichen"/>
        </w:rPr>
        <w:footnoteReference w:id="2"/>
      </w:r>
      <w:r w:rsidR="00F63275">
        <w:t xml:space="preserve">, die sich bei erwünschter Kooperation, insbesondere unter den Bedingungen der </w:t>
      </w:r>
      <w:proofErr w:type="spellStart"/>
      <w:r w:rsidR="00F63275">
        <w:t>FuE</w:t>
      </w:r>
      <w:proofErr w:type="spellEnd"/>
      <w:r w:rsidR="00F63275">
        <w:t>-Schwäche der regi</w:t>
      </w:r>
      <w:r w:rsidR="00F63275">
        <w:t>o</w:t>
      </w:r>
      <w:r w:rsidR="00F63275">
        <w:t xml:space="preserve">nalen Unternehmen ergeben, sind grundsätzlicher Art, weil sie sich jeweils aus den „Produktionsbedingungen“ der beiden kooperierenden Seiten ableiten. </w:t>
      </w:r>
      <w:r w:rsidR="0076694A">
        <w:t xml:space="preserve">Diese Hemmnisse müssen im gegenseitigen Verstehen abgebaut werden. Es </w:t>
      </w:r>
      <w:r>
        <w:t xml:space="preserve">wäre falsch </w:t>
      </w:r>
      <w:r>
        <w:lastRenderedPageBreak/>
        <w:t xml:space="preserve">und es </w:t>
      </w:r>
      <w:r w:rsidR="0076694A">
        <w:t>w</w:t>
      </w:r>
      <w:r>
        <w:t>ü</w:t>
      </w:r>
      <w:r w:rsidR="0076694A">
        <w:t>rden überzogene Erwartungen geweckt, wenn allein im Abbau solcher Hemmnisse auf der Wissenschaftsseite (z. B. mehr Nachfrageorientierung) Ve</w:t>
      </w:r>
      <w:r w:rsidR="0076694A">
        <w:t>r</w:t>
      </w:r>
      <w:r w:rsidR="0076694A">
        <w:t xml:space="preserve">besserungspotentiale gesehen werden. </w:t>
      </w:r>
      <w:r w:rsidR="00F63275">
        <w:t xml:space="preserve">In dieser Hinsicht ist </w:t>
      </w:r>
      <w:r>
        <w:t xml:space="preserve">der verfolgte </w:t>
      </w:r>
      <w:r w:rsidR="00A375CF" w:rsidRPr="00A375CF">
        <w:rPr>
          <w:i/>
        </w:rPr>
        <w:t>Koop</w:t>
      </w:r>
      <w:r w:rsidR="00A375CF" w:rsidRPr="00A375CF">
        <w:rPr>
          <w:i/>
        </w:rPr>
        <w:t>e</w:t>
      </w:r>
      <w:r w:rsidR="00A375CF" w:rsidRPr="00A375CF">
        <w:rPr>
          <w:i/>
        </w:rPr>
        <w:t>ration-von-Wissenschaft-und-Wirtschaft</w:t>
      </w:r>
      <w:r w:rsidR="00934FB3">
        <w:rPr>
          <w:i/>
        </w:rPr>
        <w:t>s</w:t>
      </w:r>
      <w:r w:rsidR="00A375CF">
        <w:t xml:space="preserve">-Ansatz zu optimistisch </w:t>
      </w:r>
      <w:r w:rsidR="004C5644">
        <w:t xml:space="preserve">und zu einseitig als Bringschuld der Hochschulen </w:t>
      </w:r>
      <w:r w:rsidR="00A375CF">
        <w:t>gedeutet</w:t>
      </w:r>
      <w:r w:rsidR="00F63275">
        <w:t xml:space="preserve">. </w:t>
      </w:r>
    </w:p>
    <w:p w:rsidR="004C5644" w:rsidRDefault="006D6FE8" w:rsidP="006D6FE8">
      <w:pPr>
        <w:pStyle w:val="NurText"/>
        <w:jc w:val="both"/>
      </w:pPr>
      <w:r>
        <w:t xml:space="preserve">[4] </w:t>
      </w:r>
      <w:r w:rsidR="0076694A">
        <w:t>Der Entwurf der Strategie</w:t>
      </w:r>
      <w:r w:rsidR="007E3B20">
        <w:t xml:space="preserve"> </w:t>
      </w:r>
      <w:r w:rsidR="004C5644">
        <w:t>unterscheide</w:t>
      </w:r>
      <w:r w:rsidR="0076694A">
        <w:t>t</w:t>
      </w:r>
      <w:r w:rsidR="004C5644">
        <w:t xml:space="preserve"> </w:t>
      </w:r>
      <w:r w:rsidR="00B93CAE">
        <w:t xml:space="preserve">hinsichtlich der </w:t>
      </w:r>
      <w:proofErr w:type="spellStart"/>
      <w:r w:rsidR="00B93CAE">
        <w:t>FuE</w:t>
      </w:r>
      <w:proofErr w:type="spellEnd"/>
      <w:r w:rsidR="00B93CAE">
        <w:t xml:space="preserve">-Aktivitäten </w:t>
      </w:r>
      <w:r w:rsidR="00F63275">
        <w:t>ric</w:t>
      </w:r>
      <w:r w:rsidR="00F63275">
        <w:t>h</w:t>
      </w:r>
      <w:r w:rsidR="00F63275">
        <w:t xml:space="preserve">tigerweise </w:t>
      </w:r>
      <w:r w:rsidR="004C5644">
        <w:t>drei Unternehmenstypen</w:t>
      </w:r>
      <w:r w:rsidR="00F63275">
        <w:t xml:space="preserve">: </w:t>
      </w:r>
    </w:p>
    <w:p w:rsidR="004C5644" w:rsidRDefault="004C5644" w:rsidP="006D6FE8">
      <w:pPr>
        <w:pStyle w:val="NurText"/>
        <w:numPr>
          <w:ilvl w:val="0"/>
          <w:numId w:val="4"/>
        </w:numPr>
        <w:jc w:val="both"/>
      </w:pPr>
      <w:r>
        <w:t>Innovationsferne KMU</w:t>
      </w:r>
    </w:p>
    <w:p w:rsidR="004C5644" w:rsidRDefault="004C5644" w:rsidP="006D6FE8">
      <w:pPr>
        <w:pStyle w:val="NurText"/>
        <w:numPr>
          <w:ilvl w:val="0"/>
          <w:numId w:val="4"/>
        </w:numPr>
        <w:jc w:val="both"/>
      </w:pPr>
      <w:r>
        <w:t xml:space="preserve">Innovationsorientierte KMU ohne </w:t>
      </w:r>
      <w:proofErr w:type="spellStart"/>
      <w:r>
        <w:t>FuE</w:t>
      </w:r>
      <w:proofErr w:type="spellEnd"/>
      <w:r>
        <w:t xml:space="preserve">-Strukturen und </w:t>
      </w:r>
    </w:p>
    <w:p w:rsidR="004C5644" w:rsidRDefault="004C5644" w:rsidP="006D6FE8">
      <w:pPr>
        <w:pStyle w:val="NurText"/>
        <w:numPr>
          <w:ilvl w:val="0"/>
          <w:numId w:val="4"/>
        </w:numPr>
        <w:jc w:val="both"/>
      </w:pPr>
      <w:r>
        <w:t>Innovationsstark</w:t>
      </w:r>
      <w:r w:rsidR="00B93CAE">
        <w:t>e KMU.</w:t>
      </w:r>
    </w:p>
    <w:p w:rsidR="00682E40" w:rsidRDefault="00B93CAE" w:rsidP="006D6FE8">
      <w:pPr>
        <w:pStyle w:val="NurText"/>
        <w:spacing w:before="60" w:after="120"/>
        <w:jc w:val="both"/>
      </w:pPr>
      <w:r>
        <w:t xml:space="preserve">Damit wird das Problem der </w:t>
      </w:r>
      <w:proofErr w:type="spellStart"/>
      <w:r>
        <w:t>FuE</w:t>
      </w:r>
      <w:proofErr w:type="spellEnd"/>
      <w:r>
        <w:t xml:space="preserve">-Schwäche der regionalen </w:t>
      </w:r>
      <w:r w:rsidR="004C5644">
        <w:t>Unter</w:t>
      </w:r>
      <w:r>
        <w:t xml:space="preserve">nehmen </w:t>
      </w:r>
      <w:r w:rsidR="006F5055">
        <w:t xml:space="preserve">zwar </w:t>
      </w:r>
      <w:r w:rsidR="00BF0449">
        <w:t xml:space="preserve">ansatzweise </w:t>
      </w:r>
      <w:r>
        <w:t>adressiert</w:t>
      </w:r>
      <w:r w:rsidR="00BF0449">
        <w:t xml:space="preserve">, aber nicht </w:t>
      </w:r>
      <w:r w:rsidR="000277E4">
        <w:t xml:space="preserve">die erforderlichen </w:t>
      </w:r>
      <w:r w:rsidR="00BF0449">
        <w:t xml:space="preserve">Schlüsse gezogen. </w:t>
      </w:r>
      <w:r w:rsidR="0076694A">
        <w:t>D</w:t>
      </w:r>
      <w:r w:rsidR="00BF0449">
        <w:t xml:space="preserve">ie zu beklagende Drittmittelschwäche der Hochschulen </w:t>
      </w:r>
      <w:r w:rsidR="0076694A">
        <w:t xml:space="preserve">hat </w:t>
      </w:r>
      <w:r w:rsidR="00BF0449">
        <w:t>in dem Mangel an region</w:t>
      </w:r>
      <w:r w:rsidR="00BF0449">
        <w:t>a</w:t>
      </w:r>
      <w:r w:rsidR="00BF0449">
        <w:t>len Drittmitteln und regionalen Kooperationspartne</w:t>
      </w:r>
      <w:r w:rsidR="0076694A">
        <w:t>rn</w:t>
      </w:r>
      <w:r w:rsidR="00BF0449">
        <w:t xml:space="preserve"> von Rang – einschließlich der damit verbundenen Wechselwirkung - einen wesentlichen Teil</w:t>
      </w:r>
      <w:r w:rsidR="00EA1C56">
        <w:t xml:space="preserve"> (</w:t>
      </w:r>
      <w:r w:rsidR="00BF0449">
        <w:t>nicht gänzlich</w:t>
      </w:r>
      <w:r w:rsidR="00EA1C56">
        <w:t>)</w:t>
      </w:r>
      <w:r w:rsidR="00BF0449">
        <w:t xml:space="preserve"> ihrer</w:t>
      </w:r>
      <w:r w:rsidR="000277E4">
        <w:t xml:space="preserve"> </w:t>
      </w:r>
      <w:r w:rsidR="00BF0449">
        <w:t>Erklärung</w:t>
      </w:r>
      <w:r w:rsidR="0076694A">
        <w:t xml:space="preserve">. Eine </w:t>
      </w:r>
      <w:r w:rsidR="00EA1C56">
        <w:t>einseitige Defizitzuweisung</w:t>
      </w:r>
      <w:r w:rsidR="0076694A">
        <w:t>, drittmittelschwache Hochsch</w:t>
      </w:r>
      <w:r w:rsidR="0076694A">
        <w:t>u</w:t>
      </w:r>
      <w:r w:rsidR="0076694A">
        <w:t>len, lässt d</w:t>
      </w:r>
      <w:r w:rsidR="00682E40">
        <w:t>ie k</w:t>
      </w:r>
      <w:r w:rsidR="0076694A">
        <w:t>ooperations</w:t>
      </w:r>
      <w:r w:rsidR="00682E40">
        <w:t>schwachen P</w:t>
      </w:r>
      <w:r w:rsidR="0076694A">
        <w:t xml:space="preserve">artner </w:t>
      </w:r>
      <w:r w:rsidR="006D6FE8">
        <w:t xml:space="preserve">in der Wirtschaft </w:t>
      </w:r>
      <w:r w:rsidR="0076694A">
        <w:t xml:space="preserve">aus dem Blick. </w:t>
      </w:r>
      <w:r w:rsidR="006D6FE8">
        <w:t xml:space="preserve">Die Drittelmittel fehlen angebotsseitig in der Region, sind Ausdruck des Mangels an </w:t>
      </w:r>
      <w:proofErr w:type="spellStart"/>
      <w:r w:rsidR="006D6FE8">
        <w:t>FuE</w:t>
      </w:r>
      <w:proofErr w:type="spellEnd"/>
      <w:r w:rsidR="006D6FE8">
        <w:t xml:space="preserve">-Kooperation (Nachfrage und Fähigkeit). Wenn die </w:t>
      </w:r>
      <w:r w:rsidR="0076694A">
        <w:t xml:space="preserve">Analyse </w:t>
      </w:r>
      <w:r w:rsidR="006D6FE8">
        <w:t>nicht deutlich zu d</w:t>
      </w:r>
      <w:r w:rsidR="004B1A55">
        <w:t>ies</w:t>
      </w:r>
      <w:r w:rsidR="006D6FE8">
        <w:t xml:space="preserve">em Punkt </w:t>
      </w:r>
      <w:r w:rsidR="004B1A55">
        <w:t xml:space="preserve">kommt, </w:t>
      </w:r>
      <w:r w:rsidR="0076694A">
        <w:t xml:space="preserve">greifen </w:t>
      </w:r>
      <w:r w:rsidR="00682E40">
        <w:t xml:space="preserve">folglich </w:t>
      </w:r>
      <w:r w:rsidR="000277E4">
        <w:t>die innovationsstrategischen V</w:t>
      </w:r>
      <w:r w:rsidR="0076694A">
        <w:t>orschläge zu kurz</w:t>
      </w:r>
      <w:r w:rsidR="000277E4">
        <w:t>; siehe auch die Metabewertung zu den Aufbau Ost-Konzepten</w:t>
      </w:r>
      <w:r w:rsidR="002D0951">
        <w:rPr>
          <w:rStyle w:val="Funotenzeichen"/>
        </w:rPr>
        <w:footnoteReference w:id="3"/>
      </w:r>
      <w:r w:rsidR="000277E4">
        <w:t xml:space="preserve">. </w:t>
      </w:r>
    </w:p>
    <w:p w:rsidR="000A60C9" w:rsidRDefault="00682E40" w:rsidP="005A3437">
      <w:pPr>
        <w:pStyle w:val="NurText"/>
        <w:spacing w:after="120"/>
        <w:jc w:val="both"/>
      </w:pPr>
      <w:r>
        <w:t xml:space="preserve">[5] Neben der Verbesserung des Vermögens der Hochschulen im WTT ist als der zweite Brückenpfeiler die </w:t>
      </w:r>
      <w:proofErr w:type="spellStart"/>
      <w:r w:rsidR="00EA1C56">
        <w:t>FuE</w:t>
      </w:r>
      <w:proofErr w:type="spellEnd"/>
      <w:r w:rsidR="00EA1C56">
        <w:t>-</w:t>
      </w:r>
      <w:r>
        <w:t>Kapazität d</w:t>
      </w:r>
      <w:r w:rsidR="00EA1C56">
        <w:t xml:space="preserve">er regionalen Wirtschaft </w:t>
      </w:r>
      <w:r>
        <w:t xml:space="preserve">auszubauen (Produkte nehmen gewöhnlich ihren Ausgangspunkt in </w:t>
      </w:r>
      <w:proofErr w:type="spellStart"/>
      <w:r>
        <w:t>FuE</w:t>
      </w:r>
      <w:proofErr w:type="spellEnd"/>
      <w:r>
        <w:t>-Abteilungen</w:t>
      </w:r>
      <w:r w:rsidR="004B1A55">
        <w:t>, siehe auch Statement Guttmann am 13.2.2012</w:t>
      </w:r>
      <w:r>
        <w:t>)</w:t>
      </w:r>
      <w:r w:rsidR="0012671F">
        <w:t xml:space="preserve">. Hier läge </w:t>
      </w:r>
      <w:r>
        <w:t xml:space="preserve">unter Nutzung aller </w:t>
      </w:r>
      <w:r w:rsidR="00EA1C56">
        <w:t>greifb</w:t>
      </w:r>
      <w:r w:rsidR="00EA1C56">
        <w:t>a</w:t>
      </w:r>
      <w:r w:rsidR="00EA1C56">
        <w:t>re</w:t>
      </w:r>
      <w:r w:rsidR="004B1A55">
        <w:t>n</w:t>
      </w:r>
      <w:r w:rsidR="00EA1C56">
        <w:t xml:space="preserve"> Ansatzpunkte die eigentliche Hebelwirkung, die mit RIS </w:t>
      </w:r>
      <w:r w:rsidR="004B1A55">
        <w:t xml:space="preserve">auch </w:t>
      </w:r>
      <w:r w:rsidR="00EA1C56">
        <w:t xml:space="preserve">verfolgt werden müsste. </w:t>
      </w:r>
      <w:r>
        <w:t xml:space="preserve">Das ist im Übrigen genauso schwer zu erreichen, wie die Hochschulen als Ersatz für die fehlenden </w:t>
      </w:r>
      <w:proofErr w:type="spellStart"/>
      <w:r>
        <w:t>FuE</w:t>
      </w:r>
      <w:proofErr w:type="spellEnd"/>
      <w:r>
        <w:t xml:space="preserve">-Abteilungen </w:t>
      </w:r>
      <w:r w:rsidR="0012671F">
        <w:t xml:space="preserve">nutzen zu wollen. </w:t>
      </w:r>
      <w:r w:rsidR="004B1A55">
        <w:t xml:space="preserve">Beide Problemkreise müssen aber – in der Strategie verdeutlicht – ins Visier genommen werden und dabei die natürlich die Wechselwirkung bedacht werden. </w:t>
      </w:r>
      <w:r w:rsidR="00EA1C56">
        <w:t xml:space="preserve">Die </w:t>
      </w:r>
      <w:r w:rsidR="00B732E8">
        <w:t xml:space="preserve">an </w:t>
      </w:r>
      <w:r w:rsidR="00EA1C56">
        <w:t xml:space="preserve">die Hochschulen gestellte Anforderung, falls diese überhaupt </w:t>
      </w:r>
      <w:r>
        <w:t>durch Governance und Anreize a</w:t>
      </w:r>
      <w:r w:rsidR="00EA1C56">
        <w:t>u</w:t>
      </w:r>
      <w:r w:rsidR="00EA1C56">
        <w:t>s</w:t>
      </w:r>
      <w:r w:rsidR="00EA1C56">
        <w:t>gefüllt werden könn</w:t>
      </w:r>
      <w:r w:rsidR="0012671F">
        <w:t>te</w:t>
      </w:r>
      <w:r w:rsidR="00EA1C56">
        <w:t>, laufen inhaltlich und akteursbezogen schnell ins Leere</w:t>
      </w:r>
      <w:r>
        <w:t>,</w:t>
      </w:r>
      <w:r w:rsidR="00EA1C56">
        <w:t xml:space="preserve"> wenn die </w:t>
      </w:r>
      <w:proofErr w:type="spellStart"/>
      <w:r w:rsidR="00EA1C56">
        <w:t>FuE</w:t>
      </w:r>
      <w:proofErr w:type="spellEnd"/>
      <w:r w:rsidR="00EA1C56">
        <w:t xml:space="preserve">-Partner auf der Unternehmerseite fehlen. </w:t>
      </w:r>
      <w:r w:rsidR="00B93CAE">
        <w:t>Den Hochschulen wird</w:t>
      </w:r>
      <w:r w:rsidR="006F5055">
        <w:t xml:space="preserve"> aber</w:t>
      </w:r>
      <w:r w:rsidR="00B93CAE">
        <w:t xml:space="preserve">, obwohl dafür noch keine </w:t>
      </w:r>
      <w:r w:rsidR="007257E8">
        <w:t xml:space="preserve">wirklichen </w:t>
      </w:r>
      <w:r w:rsidR="00B93CAE">
        <w:t>Modellfälle</w:t>
      </w:r>
      <w:r w:rsidR="0090124F">
        <w:t xml:space="preserve"> </w:t>
      </w:r>
      <w:r w:rsidR="00B93CAE">
        <w:t>existieren</w:t>
      </w:r>
      <w:r w:rsidR="007257E8">
        <w:t xml:space="preserve"> und entspr</w:t>
      </w:r>
      <w:r w:rsidR="007257E8">
        <w:t>e</w:t>
      </w:r>
      <w:r w:rsidR="007257E8">
        <w:t xml:space="preserve">chende Phantasie überfordert scheint, </w:t>
      </w:r>
      <w:r w:rsidR="00B93CAE">
        <w:t xml:space="preserve">selbst bei den innovationsfernen KMU </w:t>
      </w:r>
      <w:r w:rsidR="004B3AD7">
        <w:t xml:space="preserve">(Typ A) </w:t>
      </w:r>
      <w:r w:rsidR="00B93CAE">
        <w:t xml:space="preserve">eine </w:t>
      </w:r>
      <w:r w:rsidR="007257E8">
        <w:t xml:space="preserve">substantielle </w:t>
      </w:r>
      <w:r w:rsidR="00B93CAE">
        <w:t xml:space="preserve">innovations- und geschäftsfördernde Rolle </w:t>
      </w:r>
      <w:r w:rsidR="007257E8">
        <w:t xml:space="preserve">(„aufsuchender“ </w:t>
      </w:r>
      <w:r w:rsidR="00B93CAE">
        <w:t>WTT</w:t>
      </w:r>
      <w:r w:rsidR="007257E8">
        <w:t>, Geschäftsmodell-Werkstatt, Demonstrationslabore)</w:t>
      </w:r>
      <w:r w:rsidR="00B93CAE">
        <w:t xml:space="preserve"> </w:t>
      </w:r>
      <w:r w:rsidR="007257E8">
        <w:t xml:space="preserve">zugewiesen. </w:t>
      </w:r>
      <w:r w:rsidR="0012671F">
        <w:t>Diese Vo</w:t>
      </w:r>
      <w:r w:rsidR="0012671F">
        <w:t>r</w:t>
      </w:r>
      <w:r w:rsidR="0012671F">
        <w:t>schläge müssen zurechtgerüttelt werden. U. a. dadurch, dass d</w:t>
      </w:r>
      <w:r w:rsidR="00B732E8">
        <w:t xml:space="preserve">en </w:t>
      </w:r>
      <w:r w:rsidR="0012671F">
        <w:t xml:space="preserve">Hochschulen </w:t>
      </w:r>
      <w:r w:rsidR="00B732E8">
        <w:t xml:space="preserve">in einem Stufenprozess zunächst aufgegeben wird, </w:t>
      </w:r>
      <w:r w:rsidR="0012671F">
        <w:t>(</w:t>
      </w:r>
      <w:r w:rsidR="004B3AD7">
        <w:t>im KAT-Kontext</w:t>
      </w:r>
      <w:r w:rsidR="0012671F">
        <w:t xml:space="preserve">) </w:t>
      </w:r>
      <w:r w:rsidR="00B732E8">
        <w:t xml:space="preserve">Modellfälle zu </w:t>
      </w:r>
      <w:r w:rsidR="0012671F">
        <w:t xml:space="preserve">entwickeln. Demonstrationszentren und Innovationsassistent de </w:t>
      </w:r>
      <w:proofErr w:type="spellStart"/>
      <w:r w:rsidR="0012671F">
        <w:t>luxe</w:t>
      </w:r>
      <w:proofErr w:type="spellEnd"/>
      <w:r w:rsidR="0012671F">
        <w:t xml:space="preserve"> (Aus- und Weiterbildung an der Hochschulen eingebettet in die WTT-Aktivitäten sowohl an der Hochschule als auch im Unternehmen) </w:t>
      </w:r>
      <w:r w:rsidR="00B732E8">
        <w:t xml:space="preserve">etc. </w:t>
      </w:r>
      <w:r w:rsidR="000A60C9">
        <w:t xml:space="preserve">sind </w:t>
      </w:r>
      <w:r w:rsidR="0012671F">
        <w:t xml:space="preserve">strukturell Ansatzpunkte für den erforderlichen Brückenschlag und Austausch (der der WTT im Zweifelsfalle immer ist). </w:t>
      </w:r>
      <w:r w:rsidR="000A60C9">
        <w:t>A</w:t>
      </w:r>
      <w:r w:rsidR="007257E8">
        <w:t>nsonsten wäre</w:t>
      </w:r>
      <w:r w:rsidR="006F5055">
        <w:t>n</w:t>
      </w:r>
      <w:r w:rsidR="007257E8">
        <w:t xml:space="preserve"> der Erfolgsdruck </w:t>
      </w:r>
      <w:r w:rsidR="0012671F">
        <w:t xml:space="preserve">für eine der Seiten der WTT-Partnerschaft </w:t>
      </w:r>
      <w:r w:rsidR="004B3AD7">
        <w:t xml:space="preserve">und </w:t>
      </w:r>
      <w:r w:rsidR="0012671F">
        <w:t xml:space="preserve">damit </w:t>
      </w:r>
      <w:r w:rsidR="004B3AD7">
        <w:t xml:space="preserve">die Wahrscheinlichkeit des Scheiterns </w:t>
      </w:r>
      <w:r w:rsidR="007257E8">
        <w:t>zu hoch</w:t>
      </w:r>
      <w:r w:rsidR="004B3AD7">
        <w:t xml:space="preserve">. </w:t>
      </w:r>
      <w:r w:rsidR="002575AF">
        <w:t xml:space="preserve">Ein Teil des entstehenden Druckes </w:t>
      </w:r>
      <w:r w:rsidR="0012671F">
        <w:t xml:space="preserve">(Ideen, Ansatzpunkte, Umsetzung) </w:t>
      </w:r>
      <w:r w:rsidR="002575AF">
        <w:t xml:space="preserve">könnte auf </w:t>
      </w:r>
      <w:r w:rsidR="0012671F">
        <w:t>begle</w:t>
      </w:r>
      <w:r w:rsidR="0012671F">
        <w:t>i</w:t>
      </w:r>
      <w:r w:rsidR="0012671F">
        <w:t xml:space="preserve">tende externe Expertise abgeleitet werden. </w:t>
      </w:r>
      <w:r w:rsidR="000A60C9">
        <w:t xml:space="preserve">Das </w:t>
      </w:r>
      <w:r w:rsidR="00B732E8">
        <w:t>G</w:t>
      </w:r>
      <w:r w:rsidR="000A60C9">
        <w:t>anze müsste k</w:t>
      </w:r>
      <w:r w:rsidR="002575AF">
        <w:t xml:space="preserve">onkreter werden und best practice-Beispiele </w:t>
      </w:r>
      <w:r w:rsidR="000A60C9">
        <w:t>herangezogen werde</w:t>
      </w:r>
      <w:r w:rsidR="002575AF">
        <w:t xml:space="preserve">. </w:t>
      </w:r>
      <w:r w:rsidR="00B94FB0">
        <w:t>Wie groß der Koordination</w:t>
      </w:r>
      <w:r w:rsidR="00B94FB0">
        <w:t>s</w:t>
      </w:r>
      <w:r w:rsidR="00B94FB0">
        <w:lastRenderedPageBreak/>
        <w:t>aufwand (Machbarkeitsstudien etc.) ist, Wissenschaft und Wirtschaft produktb</w:t>
      </w:r>
      <w:r w:rsidR="00B94FB0">
        <w:t>e</w:t>
      </w:r>
      <w:r w:rsidR="00B94FB0">
        <w:t xml:space="preserve">zogen zusammenzubringen, hat der </w:t>
      </w:r>
      <w:r w:rsidR="00B732E8">
        <w:t xml:space="preserve">modellhaft angelegte </w:t>
      </w:r>
      <w:r w:rsidR="00B94FB0">
        <w:t>BIMAP-Prozess</w:t>
      </w:r>
      <w:r w:rsidR="00B94FB0" w:rsidRPr="00B94FB0">
        <w:rPr>
          <w:rStyle w:val="Funotenzeichen"/>
        </w:rPr>
        <w:footnoteReference w:id="4"/>
      </w:r>
      <w:r w:rsidR="00B94FB0">
        <w:t xml:space="preserve"> gezeigt. </w:t>
      </w:r>
      <w:r w:rsidR="00B732E8">
        <w:t xml:space="preserve">Er ist </w:t>
      </w:r>
      <w:r w:rsidR="00B94FB0">
        <w:t xml:space="preserve">Referenz-Beispiel für die erforderlichen Prozesse. Obwohl veritable Partner auf beiden Seiten im Spiel waren, hat sich die Lücke zwischen wissenschaftlicher Erkenntnis und Produkt nicht </w:t>
      </w:r>
      <w:r w:rsidR="00F85EA8">
        <w:t xml:space="preserve">ohne weiteres </w:t>
      </w:r>
      <w:r w:rsidR="00B732E8">
        <w:t xml:space="preserve">durch WTT-Aufwand </w:t>
      </w:r>
      <w:r w:rsidR="00F85EA8">
        <w:t>schließen la</w:t>
      </w:r>
      <w:r w:rsidR="00F85EA8">
        <w:t>s</w:t>
      </w:r>
      <w:r w:rsidR="00B732E8">
        <w:t>sen.</w:t>
      </w:r>
    </w:p>
    <w:p w:rsidR="00DF7F3E" w:rsidRDefault="000A60C9" w:rsidP="005A3437">
      <w:pPr>
        <w:pStyle w:val="NurText"/>
        <w:spacing w:after="120"/>
        <w:jc w:val="both"/>
      </w:pPr>
      <w:r>
        <w:t xml:space="preserve">[6] </w:t>
      </w:r>
      <w:r w:rsidR="004B3AD7">
        <w:t>Bei den KMU vom Typ B und C ist erfahrungsgemäß, insbesondere im Zusa</w:t>
      </w:r>
      <w:r w:rsidR="004B3AD7">
        <w:t>m</w:t>
      </w:r>
      <w:r w:rsidR="004B3AD7">
        <w:t>menhang mit Drittmitteln, die Kooperation aus der Sicht der Hochschulen inhal</w:t>
      </w:r>
      <w:r w:rsidR="004B3AD7">
        <w:t>t</w:t>
      </w:r>
      <w:r w:rsidR="004B3AD7">
        <w:t>lich-organisatorisch leichter zu gestalten, aber die Anforderungen an strategischer Orientierung (Forschungsinhalte, Berufungen</w:t>
      </w:r>
      <w:r>
        <w:t>, Innovation, WTT</w:t>
      </w:r>
      <w:r w:rsidR="004B3AD7">
        <w:t xml:space="preserve">) </w:t>
      </w:r>
      <w:r>
        <w:t xml:space="preserve">beider Seiten, </w:t>
      </w:r>
      <w:r w:rsidR="004B3AD7">
        <w:t>insbesondere bei Typ C</w:t>
      </w:r>
      <w:r>
        <w:t>-Kooperation (Cluster),</w:t>
      </w:r>
      <w:r w:rsidR="004B3AD7">
        <w:t xml:space="preserve"> ungleich höher. Es wird für die Hochschulen die Herausforderung entstehen, sich strukturell auf die großen Pr</w:t>
      </w:r>
      <w:r w:rsidR="004B3AD7">
        <w:t>o</w:t>
      </w:r>
      <w:r w:rsidR="004B3AD7">
        <w:t>jekte und Cluster der Wirtschaft (Leuna, Dessau, Magdeburg) strategisch einz</w:t>
      </w:r>
      <w:r w:rsidR="004B3AD7">
        <w:t>u</w:t>
      </w:r>
      <w:r w:rsidR="004B3AD7">
        <w:t xml:space="preserve">stellen. </w:t>
      </w:r>
      <w:r>
        <w:t xml:space="preserve">Das gelänge umso besser, wenn die Unternehmen, so schwer das auch für sie sein mag, sich (innerhalb der Cluster) stärker bänden. </w:t>
      </w:r>
      <w:r w:rsidR="004B3AD7">
        <w:t>Mittlerweile sind Aggl</w:t>
      </w:r>
      <w:r w:rsidR="004B3AD7">
        <w:t>o</w:t>
      </w:r>
      <w:r w:rsidR="004B3AD7">
        <w:t>merationen z. B. in Leuna so groß</w:t>
      </w:r>
      <w:r>
        <w:t xml:space="preserve"> und inhaltlich eindeutig</w:t>
      </w:r>
      <w:r w:rsidR="004B3AD7">
        <w:t xml:space="preserve">, dass dies </w:t>
      </w:r>
      <w:r>
        <w:t>für die Hoc</w:t>
      </w:r>
      <w:r>
        <w:t>h</w:t>
      </w:r>
      <w:r>
        <w:t xml:space="preserve">schulen </w:t>
      </w:r>
      <w:r w:rsidR="004B3AD7">
        <w:t>langfristig von Vorteil sein kann</w:t>
      </w:r>
      <w:r>
        <w:t>, sich strukturell vor allem durch Berufu</w:t>
      </w:r>
      <w:r>
        <w:t>n</w:t>
      </w:r>
      <w:r>
        <w:t>gen (25 Jahre Bindung!)</w:t>
      </w:r>
      <w:r w:rsidR="00DF7F3E">
        <w:t xml:space="preserve"> darauf einzustellen</w:t>
      </w:r>
      <w:r w:rsidR="004B3AD7">
        <w:t xml:space="preserve">. </w:t>
      </w:r>
      <w:r w:rsidR="00DF7F3E">
        <w:t xml:space="preserve">Dann wären Cluster mehr als nur Beutegemeinschaften. </w:t>
      </w:r>
      <w:r w:rsidR="004B3AD7">
        <w:t xml:space="preserve">Allerdings </w:t>
      </w:r>
      <w:r w:rsidR="00DF7F3E">
        <w:t xml:space="preserve">muss </w:t>
      </w:r>
      <w:r w:rsidR="004B3AD7">
        <w:t>die Dichte d</w:t>
      </w:r>
      <w:r w:rsidR="00DF7F3E">
        <w:t xml:space="preserve">er </w:t>
      </w:r>
      <w:proofErr w:type="spellStart"/>
      <w:r w:rsidR="004B3AD7">
        <w:t>FuE</w:t>
      </w:r>
      <w:proofErr w:type="spellEnd"/>
      <w:r w:rsidR="004B3AD7">
        <w:t>-Aktivitäten einschlie</w:t>
      </w:r>
      <w:r w:rsidR="004B3AD7">
        <w:t>ß</w:t>
      </w:r>
      <w:r w:rsidR="004B3AD7">
        <w:t>lich der dazugehörigen Dienstleistungen so hoch</w:t>
      </w:r>
      <w:r w:rsidR="00DF7F3E">
        <w:t xml:space="preserve"> sein</w:t>
      </w:r>
      <w:r w:rsidR="004B3AD7">
        <w:t xml:space="preserve">, dass eine Nachfrage nach </w:t>
      </w:r>
      <w:r w:rsidR="005A3437">
        <w:t xml:space="preserve">der anwendungsorientierter Forschung besteht, die vom Wissenschaftssystems unter Vollkostendeckung aus ihrem Kernbereich heraus bedient werden kann. </w:t>
      </w:r>
    </w:p>
    <w:p w:rsidR="005A3437" w:rsidRPr="005A3437" w:rsidRDefault="00DF7F3E" w:rsidP="005A3437">
      <w:pPr>
        <w:pStyle w:val="NurText"/>
        <w:spacing w:after="120"/>
        <w:jc w:val="both"/>
      </w:pPr>
      <w:r>
        <w:t xml:space="preserve">[7] </w:t>
      </w:r>
      <w:r w:rsidR="005A3437">
        <w:t>Wenngleich gemäß Kline / Rosenberg in der Anwendungsorientierung epist</w:t>
      </w:r>
      <w:r w:rsidR="005A3437">
        <w:t>e</w:t>
      </w:r>
      <w:r w:rsidR="005A3437">
        <w:t>misch</w:t>
      </w:r>
      <w:r>
        <w:t xml:space="preserve"> betrachtet</w:t>
      </w:r>
      <w:r w:rsidR="005A3437">
        <w:t xml:space="preserve"> Erkenntnisvorteil steckt, </w:t>
      </w:r>
      <w:r w:rsidR="005A3437" w:rsidRPr="005A3437">
        <w:t xml:space="preserve">wird </w:t>
      </w:r>
      <w:r w:rsidR="0020709A">
        <w:t xml:space="preserve">immer wieder darauf verwiesen, </w:t>
      </w:r>
      <w:r w:rsidR="005A3437" w:rsidRPr="005A3437">
        <w:t>dass die Beziehungen nicht zu eng bzw. zu spezifisch auf einen bestimmten</w:t>
      </w:r>
      <w:r w:rsidR="005A3437">
        <w:t xml:space="preserve"> </w:t>
      </w:r>
      <w:r w:rsidR="005A3437" w:rsidRPr="005A3437">
        <w:t>Zweck festgelegt sein sollten, da es sonst zu innovationshemmenden "lock-in"-Effekten</w:t>
      </w:r>
      <w:r w:rsidR="005A3437">
        <w:t xml:space="preserve"> kommt</w:t>
      </w:r>
      <w:r w:rsidR="006F5055">
        <w:t xml:space="preserve"> (Fritsch 2003)</w:t>
      </w:r>
      <w:r w:rsidR="005A3437">
        <w:t xml:space="preserve">. Dafür würde am Ende die Wissenschaft </w:t>
      </w:r>
      <w:r w:rsidR="0020709A">
        <w:t xml:space="preserve">verantwortlich </w:t>
      </w:r>
      <w:r w:rsidR="005A3437">
        <w:t>gemacht</w:t>
      </w:r>
      <w:r w:rsidR="006F5055">
        <w:t>. Letztlich steckt hier die grundsätzliche innovationsstrategische / -politische Erklärung dafür, warum trotz Anwendungsorientierung Raum für quasi zweckfreie, international kooperierende und wettbewerbsfähige Forschung (Fo</w:t>
      </w:r>
      <w:r w:rsidR="006F5055">
        <w:t>r</w:t>
      </w:r>
      <w:r w:rsidR="006F5055">
        <w:t xml:space="preserve">schungsschwerpunkte) bleiben muss. Dieser für das Wissenschaftssystem </w:t>
      </w:r>
      <w:r w:rsidR="0020709A">
        <w:t>essent</w:t>
      </w:r>
      <w:r w:rsidR="0020709A">
        <w:t>i</w:t>
      </w:r>
      <w:r w:rsidR="0020709A">
        <w:t xml:space="preserve">elle und innovationsstrategisch </w:t>
      </w:r>
      <w:r w:rsidR="006F5055">
        <w:t>wichtige Aspekt spielt in der RIS-Strategie</w:t>
      </w:r>
      <w:r w:rsidR="0020709A" w:rsidRPr="0020709A">
        <w:t xml:space="preserve"> </w:t>
      </w:r>
      <w:r w:rsidR="0020709A">
        <w:t xml:space="preserve">und deren Handlungsempfehlungen </w:t>
      </w:r>
      <w:r>
        <w:t xml:space="preserve">entschieden </w:t>
      </w:r>
      <w:r w:rsidR="0020709A">
        <w:t>eine zu geringe Rolle</w:t>
      </w:r>
      <w:r>
        <w:t>. Der Text kann von denen, die mit der innovationstrategischen Grundsatz-Debatte nicht vertraut sind, als eine Blaupause gelesen werden, wie die Hochschulen zu den verlänge</w:t>
      </w:r>
      <w:r>
        <w:t>r</w:t>
      </w:r>
      <w:r>
        <w:t xml:space="preserve">ten </w:t>
      </w:r>
      <w:proofErr w:type="spellStart"/>
      <w:r>
        <w:t>FuE</w:t>
      </w:r>
      <w:proofErr w:type="spellEnd"/>
      <w:r>
        <w:t>-Abteilungen gemacht werden kann. Wenn es nur so einfach wäre.</w:t>
      </w:r>
    </w:p>
    <w:p w:rsidR="00755CFA" w:rsidRDefault="000D4F34" w:rsidP="00755CFA">
      <w:pPr>
        <w:pStyle w:val="NurText"/>
        <w:jc w:val="both"/>
      </w:pPr>
      <w:r>
        <w:t>[</w:t>
      </w:r>
      <w:r w:rsidR="00DF7F3E">
        <w:t>8</w:t>
      </w:r>
      <w:r>
        <w:t xml:space="preserve">] </w:t>
      </w:r>
      <w:r w:rsidR="0020709A">
        <w:t xml:space="preserve">Die Konsequenzen aus der o. g. Anforderung an das Hochschulsystem – vgl. Handlungsfelder </w:t>
      </w:r>
      <w:r w:rsidR="0020709A" w:rsidRPr="0020709A">
        <w:rPr>
          <w:i/>
        </w:rPr>
        <w:t>Wissenschaftspolitik</w:t>
      </w:r>
      <w:r w:rsidR="0020709A">
        <w:t xml:space="preserve">“ und </w:t>
      </w:r>
      <w:r w:rsidR="0020709A" w:rsidRPr="0020709A">
        <w:rPr>
          <w:i/>
        </w:rPr>
        <w:t>WTT</w:t>
      </w:r>
      <w:r w:rsidR="0020709A">
        <w:t xml:space="preserve"> – </w:t>
      </w:r>
      <w:r w:rsidR="0090124F">
        <w:t xml:space="preserve">sind </w:t>
      </w:r>
      <w:r w:rsidR="0020709A">
        <w:t xml:space="preserve">sehr weitreichend. </w:t>
      </w:r>
      <w:r w:rsidR="002575AF">
        <w:t>Die Vorschläge der Gutachter richten sich deshalb auf Vorschläge, Strukturen, Organ</w:t>
      </w:r>
      <w:r w:rsidR="002575AF">
        <w:t>i</w:t>
      </w:r>
      <w:r w:rsidR="002575AF">
        <w:t>sation</w:t>
      </w:r>
      <w:r w:rsidR="003A0F1E">
        <w:t xml:space="preserve">, Management </w:t>
      </w:r>
      <w:r w:rsidR="002575AF">
        <w:t xml:space="preserve">und Governance der Hochschulen so zu verändern (Prozess: ZV, externe Moderation, Beratung, Evaluation), dass </w:t>
      </w:r>
      <w:r w:rsidR="003A0F1E">
        <w:t xml:space="preserve">– so die Vorstellung – eine </w:t>
      </w:r>
      <w:r w:rsidR="003A0F1E" w:rsidRPr="003A0F1E">
        <w:t>einschneidende</w:t>
      </w:r>
      <w:r w:rsidR="003A0F1E">
        <w:t xml:space="preserve"> Verbesserung der Fähigkeit der Hochschulen zur konkreten Mi</w:t>
      </w:r>
      <w:r w:rsidR="003A0F1E">
        <w:t>t</w:t>
      </w:r>
      <w:r w:rsidR="003A0F1E">
        <w:t xml:space="preserve">wirkung bei Innovation und WTT zustande kommt. Das Ausmaß der zu erfüllenden Anforderungen lässt sich daran messen, dass selbst für die Innovationsfernen </w:t>
      </w:r>
      <w:proofErr w:type="spellStart"/>
      <w:r w:rsidR="003A0F1E">
        <w:t>KMU´s</w:t>
      </w:r>
      <w:proofErr w:type="spellEnd"/>
      <w:r w:rsidR="003A0F1E">
        <w:t xml:space="preserve"> konkrete produkt- und marktbezogene Dienstleistungen erbracht werden sollen. Dies ist nur denkbar, wenn im Sinne der vom Wissenschaftsrat empfohl</w:t>
      </w:r>
      <w:r w:rsidR="003A0F1E">
        <w:t>e</w:t>
      </w:r>
      <w:r w:rsidR="003A0F1E">
        <w:t xml:space="preserve">nen Differenzierungen der Aufgabenwahrnehmung, Ausgründungen (Hochschulen als Gesellschafter) erfolgen. </w:t>
      </w:r>
      <w:r w:rsidR="00DF7F3E">
        <w:t>Das ist nicht Ressourcen-neutral, kann aber Gege</w:t>
      </w:r>
      <w:r w:rsidR="00DF7F3E">
        <w:t>n</w:t>
      </w:r>
      <w:r w:rsidR="00DF7F3E">
        <w:lastRenderedPageBreak/>
        <w:t xml:space="preserve">stand der Förderungen werden. </w:t>
      </w:r>
      <w:r w:rsidR="003A0F1E">
        <w:t>In diesem Sinne ist die Professionalisierung vor allem zu deuten und zu ges</w:t>
      </w:r>
      <w:r w:rsidR="00F85EA8">
        <w:t>talten. Die dafür erforderlichen</w:t>
      </w:r>
      <w:r w:rsidR="003A0F1E">
        <w:t xml:space="preserve"> Transformation</w:t>
      </w:r>
      <w:r w:rsidR="00F85EA8">
        <w:t>en</w:t>
      </w:r>
      <w:r w:rsidR="003A0F1E">
        <w:t xml:space="preserve"> </w:t>
      </w:r>
      <w:r w:rsidR="00BD495A">
        <w:t>brauchen hochschulintern neuen Strukturen, um die Prozesse angemessen b</w:t>
      </w:r>
      <w:r w:rsidR="00BD495A">
        <w:t>e</w:t>
      </w:r>
      <w:r w:rsidR="00063CD2">
        <w:t>tr</w:t>
      </w:r>
      <w:r w:rsidR="00BD495A">
        <w:t>e</w:t>
      </w:r>
      <w:r w:rsidR="00063CD2">
        <w:t>i</w:t>
      </w:r>
      <w:r w:rsidR="00BD495A">
        <w:t>ben und begleiten zu können. In dieser Richtung wird die erforderliche Profe</w:t>
      </w:r>
      <w:r w:rsidR="00BD495A">
        <w:t>s</w:t>
      </w:r>
      <w:r w:rsidR="00BD495A">
        <w:t xml:space="preserve">sionalisierung auch (nicht nur von den Gutachtern) </w:t>
      </w:r>
      <w:r w:rsidR="00063CD2">
        <w:t>zu inter</w:t>
      </w:r>
      <w:r w:rsidR="00BD495A">
        <w:t>pretier</w:t>
      </w:r>
      <w:r w:rsidR="00063CD2">
        <w:t xml:space="preserve">en sein. </w:t>
      </w:r>
      <w:r w:rsidR="00B732E8">
        <w:t>Was die anzustrebenden Ziele und die damit verbundenen Erwartungen betrifft, sollte an manchen Stellen abgerüstet und stärker wissensbasierte Abstimmungs- und U</w:t>
      </w:r>
      <w:r w:rsidR="00B732E8">
        <w:t>m</w:t>
      </w:r>
      <w:r w:rsidR="00B732E8">
        <w:t>setzungsprozess konturiert werden.</w:t>
      </w:r>
    </w:p>
    <w:p w:rsidR="00EB6846" w:rsidRDefault="00851017" w:rsidP="00851017">
      <w:pPr>
        <w:pStyle w:val="NurText"/>
        <w:spacing w:before="120" w:after="120"/>
        <w:jc w:val="both"/>
      </w:pPr>
      <w:r>
        <w:t>[</w:t>
      </w:r>
      <w:r w:rsidR="00DF7F3E">
        <w:t>9</w:t>
      </w:r>
      <w:r>
        <w:t xml:space="preserve">] </w:t>
      </w:r>
      <w:r w:rsidR="00BD495A">
        <w:t xml:space="preserve">Hinsichtlich der </w:t>
      </w:r>
      <w:r w:rsidR="00C02A1D">
        <w:t xml:space="preserve">Wissensdimension </w:t>
      </w:r>
      <w:r w:rsidR="0090124F">
        <w:t xml:space="preserve">und der Deutung der </w:t>
      </w:r>
      <w:r w:rsidR="00B732E8">
        <w:t>E</w:t>
      </w:r>
      <w:r w:rsidR="0090124F">
        <w:t xml:space="preserve">ntwicklung </w:t>
      </w:r>
      <w:r w:rsidR="00B732E8">
        <w:t>des La</w:t>
      </w:r>
      <w:r w:rsidR="00B732E8">
        <w:t>n</w:t>
      </w:r>
      <w:r w:rsidR="00B732E8">
        <w:t xml:space="preserve">des </w:t>
      </w:r>
      <w:r w:rsidR="0090124F">
        <w:t xml:space="preserve">als Wissensregion </w:t>
      </w:r>
      <w:r w:rsidR="00C02A1D">
        <w:t xml:space="preserve">weist die RIS-Strategie </w:t>
      </w:r>
      <w:r w:rsidR="00B732E8">
        <w:t xml:space="preserve">ein deutliches </w:t>
      </w:r>
      <w:r w:rsidR="00C02A1D">
        <w:t>konzeptionelle</w:t>
      </w:r>
      <w:r w:rsidR="00F85EA8">
        <w:t>s</w:t>
      </w:r>
      <w:r w:rsidR="00C02A1D">
        <w:t xml:space="preserve"> Def</w:t>
      </w:r>
      <w:r w:rsidR="00C02A1D">
        <w:t>i</w:t>
      </w:r>
      <w:r w:rsidR="00C02A1D">
        <w:t>zi</w:t>
      </w:r>
      <w:r w:rsidR="00F85EA8">
        <w:t>t</w:t>
      </w:r>
      <w:r w:rsidR="00C02A1D">
        <w:t xml:space="preserve"> au</w:t>
      </w:r>
      <w:r w:rsidR="00EB6846">
        <w:t>f</w:t>
      </w:r>
      <w:r w:rsidR="00C02A1D">
        <w:t>. Aus der Sicht der sogenannten Wissensgesellschaft müssten – vgl. Sac</w:t>
      </w:r>
      <w:r w:rsidR="00C02A1D">
        <w:t>h</w:t>
      </w:r>
      <w:r w:rsidR="00C02A1D">
        <w:t>sen</w:t>
      </w:r>
      <w:r w:rsidR="00063CD2">
        <w:rPr>
          <w:rStyle w:val="Funotenzeichen"/>
        </w:rPr>
        <w:footnoteReference w:id="5"/>
      </w:r>
      <w:r w:rsidR="00C02A1D">
        <w:t xml:space="preserve"> – viel umfassender allgemeine, die Gesellschaft in der Tiefe und Breite berü</w:t>
      </w:r>
      <w:r w:rsidR="00C02A1D">
        <w:t>h</w:t>
      </w:r>
      <w:r w:rsidR="00C02A1D">
        <w:t>rende Anforderung</w:t>
      </w:r>
      <w:r w:rsidR="00300342">
        <w:t>en an Wissen</w:t>
      </w:r>
      <w:r w:rsidR="00F85EA8">
        <w:t xml:space="preserve">sbedarfe </w:t>
      </w:r>
      <w:r w:rsidR="00300342">
        <w:t>in der modernen Gesellschaft definiert und begründet werden (Der Begriff Bibliothek</w:t>
      </w:r>
      <w:r w:rsidR="00EB6846">
        <w:t>en / als Agenturen der Wissensve</w:t>
      </w:r>
      <w:r w:rsidR="00EB6846">
        <w:t>r</w:t>
      </w:r>
      <w:r w:rsidR="00EB6846">
        <w:t xml:space="preserve">mittlung </w:t>
      </w:r>
      <w:r w:rsidR="00300342">
        <w:t xml:space="preserve">taucht </w:t>
      </w:r>
      <w:r w:rsidR="0090124F">
        <w:t xml:space="preserve">im Text </w:t>
      </w:r>
      <w:r w:rsidR="00300342">
        <w:t xml:space="preserve">in einem solchen </w:t>
      </w:r>
      <w:r w:rsidR="0090124F">
        <w:t xml:space="preserve">Zusammenhang </w:t>
      </w:r>
      <w:r w:rsidR="00300342">
        <w:t>überhaupt nicht auf</w:t>
      </w:r>
      <w:r w:rsidR="00063CD2">
        <w:t xml:space="preserve">; Breitband wird vor allem als technisches Problem dargestellt und nicht als Chiffre für den zu organisierenden Informationstransfer gesehen, der künftig noch mehr als bisher </w:t>
      </w:r>
      <w:r w:rsidR="00EB6846">
        <w:t xml:space="preserve">– z. B. </w:t>
      </w:r>
      <w:proofErr w:type="spellStart"/>
      <w:r w:rsidR="00063CD2">
        <w:t>Cyber</w:t>
      </w:r>
      <w:proofErr w:type="spellEnd"/>
      <w:r w:rsidR="00063CD2">
        <w:t xml:space="preserve"> </w:t>
      </w:r>
      <w:proofErr w:type="spellStart"/>
      <w:r w:rsidR="00063CD2">
        <w:t>Physical</w:t>
      </w:r>
      <w:proofErr w:type="spellEnd"/>
      <w:r w:rsidR="00063CD2">
        <w:t xml:space="preserve"> Systems</w:t>
      </w:r>
      <w:r w:rsidR="00EB6846">
        <w:t xml:space="preserve"> – Innovation und WTT b</w:t>
      </w:r>
      <w:r w:rsidR="00063CD2">
        <w:t>estimmen wird.</w:t>
      </w:r>
      <w:r w:rsidR="00300342">
        <w:t>).</w:t>
      </w:r>
    </w:p>
    <w:p w:rsidR="00300342" w:rsidRDefault="00EB6846" w:rsidP="00851017">
      <w:pPr>
        <w:pStyle w:val="NurText"/>
        <w:spacing w:before="120" w:after="120"/>
        <w:jc w:val="both"/>
      </w:pPr>
      <w:r>
        <w:t>[10]</w:t>
      </w:r>
      <w:r w:rsidR="00300342">
        <w:t xml:space="preserve"> Es ist für das Wissenschaftssystem </w:t>
      </w:r>
      <w:r w:rsidR="00F85EA8">
        <w:t xml:space="preserve">auch </w:t>
      </w:r>
      <w:r w:rsidR="00300342">
        <w:t xml:space="preserve">deshalb wichtig, sich in einen solchen konzeptionellen Ansatz gestellt zu sehen, weil es nur dann </w:t>
      </w:r>
      <w:r w:rsidR="00063CD2">
        <w:t>– sieh</w:t>
      </w:r>
      <w:r w:rsidR="00F85EA8">
        <w:t>e</w:t>
      </w:r>
      <w:r w:rsidR="00063CD2">
        <w:t xml:space="preserve"> oben - </w:t>
      </w:r>
      <w:r w:rsidR="00300342">
        <w:t xml:space="preserve">seine Möglichkeiten, über die Verwertung hinausweisend, voll ausschöpfen könnte. </w:t>
      </w:r>
      <w:r w:rsidR="00063CD2">
        <w:t xml:space="preserve">Das gilt auch für </w:t>
      </w:r>
      <w:r w:rsidR="00F85EA8">
        <w:t xml:space="preserve">ein </w:t>
      </w:r>
      <w:r w:rsidR="00063CD2">
        <w:t>regionale</w:t>
      </w:r>
      <w:r w:rsidR="00F85EA8">
        <w:t>s</w:t>
      </w:r>
      <w:r w:rsidR="00063CD2">
        <w:t xml:space="preserve"> Wissenschaftssystem. Es ist </w:t>
      </w:r>
      <w:r w:rsidR="00F85EA8">
        <w:t xml:space="preserve">eine </w:t>
      </w:r>
      <w:r w:rsidR="00300342">
        <w:t xml:space="preserve">Falle, in die Sachsen-Anhalt geraten könnte, just in dem Moment </w:t>
      </w:r>
      <w:r>
        <w:t xml:space="preserve">vehement aufsteigender </w:t>
      </w:r>
      <w:r w:rsidR="00300342">
        <w:t>gesellschaf</w:t>
      </w:r>
      <w:r w:rsidR="00300342">
        <w:t>t</w:t>
      </w:r>
      <w:r w:rsidR="00300342">
        <w:t>licher Entwicklungsperspektiv</w:t>
      </w:r>
      <w:r w:rsidR="00F85EA8">
        <w:t>en</w:t>
      </w:r>
      <w:r w:rsidR="00300342">
        <w:t xml:space="preserve">, in der Wissen und Wissenschaft eine qualitativ </w:t>
      </w:r>
      <w:r w:rsidR="00F85EA8">
        <w:t xml:space="preserve">und quantitativ </w:t>
      </w:r>
      <w:r w:rsidR="00300342">
        <w:t>neue Rolle zugewiesen bekomm</w:t>
      </w:r>
      <w:r>
        <w:t>en</w:t>
      </w:r>
      <w:r w:rsidR="00300342">
        <w:t>, die Wissensdimension zu ve</w:t>
      </w:r>
      <w:r w:rsidR="00300342">
        <w:t>r</w:t>
      </w:r>
      <w:r w:rsidR="00300342">
        <w:t>nachlässigen</w:t>
      </w:r>
      <w:r w:rsidR="0033346A">
        <w:t xml:space="preserve"> und </w:t>
      </w:r>
      <w:r w:rsidR="00300342">
        <w:t xml:space="preserve">die Wissenschaft in ihrer gesellschaftlichen Rolle zu minimieren. </w:t>
      </w:r>
      <w:r>
        <w:t xml:space="preserve">Es ist, </w:t>
      </w:r>
      <w:r w:rsidR="000767C3">
        <w:t>wenn Wissen, interregionaler Wissensaustausch, Bibliotheken, „Breitband“</w:t>
      </w:r>
      <w:r w:rsidR="00F85EA8">
        <w:t xml:space="preserve">, </w:t>
      </w:r>
      <w:r w:rsidR="000767C3">
        <w:t>Wissensbilanzen etc. umfassend in Betracht gezogen werden, eine mindestens ebenso gewichtiger Gesichtspunkt regionaler Entwicklungs</w:t>
      </w:r>
      <w:r w:rsidR="00F85EA8">
        <w:t>ansätze</w:t>
      </w:r>
      <w:r w:rsidR="000767C3">
        <w:t>, wie die K</w:t>
      </w:r>
      <w:r w:rsidR="000767C3">
        <w:t>o</w:t>
      </w:r>
      <w:r w:rsidR="000767C3">
        <w:t>operation Wissenschaft / Wirtschaft</w:t>
      </w:r>
      <w:r w:rsidR="00F85EA8">
        <w:t xml:space="preserve">. Dadurch würde </w:t>
      </w:r>
      <w:r w:rsidR="000767C3">
        <w:t>die Wissenschaft nicht hi</w:t>
      </w:r>
      <w:r w:rsidR="000767C3">
        <w:t>n</w:t>
      </w:r>
      <w:r w:rsidR="000767C3">
        <w:t>sichtlich der Verwertung entlaste</w:t>
      </w:r>
      <w:r w:rsidR="00F85EA8">
        <w:t xml:space="preserve">t, </w:t>
      </w:r>
      <w:r w:rsidR="000767C3">
        <w:t>ihr aber die angestammten Entwicklungspe</w:t>
      </w:r>
      <w:r w:rsidR="000767C3">
        <w:t>r</w:t>
      </w:r>
      <w:r w:rsidR="000767C3">
        <w:t xml:space="preserve">spektiven im Einklang mit einer </w:t>
      </w:r>
      <w:r w:rsidR="000767C3" w:rsidRPr="000767C3">
        <w:rPr>
          <w:smallCaps/>
        </w:rPr>
        <w:t>regionalen Innovationstrategie</w:t>
      </w:r>
      <w:r w:rsidR="000767C3">
        <w:t xml:space="preserve"> be</w:t>
      </w:r>
      <w:r w:rsidR="00F85EA8">
        <w:t>lassen</w:t>
      </w:r>
      <w:r w:rsidR="000767C3">
        <w:t xml:space="preserve">. </w:t>
      </w:r>
    </w:p>
    <w:p w:rsidR="00DE43C6" w:rsidRDefault="00F85EA8" w:rsidP="00DE43C6">
      <w:pPr>
        <w:pStyle w:val="NurText"/>
        <w:jc w:val="both"/>
      </w:pPr>
      <w:r>
        <w:t>Fazit: Das ist kein pauschale Ablehnung der im RIS-Entwurf dargelegten Vorschl</w:t>
      </w:r>
      <w:r>
        <w:t>ä</w:t>
      </w:r>
      <w:r>
        <w:t xml:space="preserve">ge, sondern der Vorschlag </w:t>
      </w:r>
      <w:r w:rsidR="00DE43C6">
        <w:t xml:space="preserve">Akzentuierungen vorzunehmen (An denen würde der </w:t>
      </w:r>
      <w:r>
        <w:t xml:space="preserve">Unterzeichnende </w:t>
      </w:r>
      <w:r w:rsidR="00DE43C6">
        <w:t xml:space="preserve">bei Aufforderung </w:t>
      </w:r>
      <w:r>
        <w:t>auch konkret und redaktionell mitwirken</w:t>
      </w:r>
      <w:r w:rsidR="00DE43C6">
        <w:t xml:space="preserve">.). Diese Akzentuierungen müssten wie folgt erfolgen: </w:t>
      </w:r>
    </w:p>
    <w:p w:rsidR="00DE43C6" w:rsidRDefault="00DE43C6" w:rsidP="00DE43C6">
      <w:pPr>
        <w:pStyle w:val="NurText"/>
        <w:numPr>
          <w:ilvl w:val="0"/>
          <w:numId w:val="5"/>
        </w:numPr>
        <w:ind w:left="357" w:hanging="357"/>
        <w:jc w:val="both"/>
      </w:pPr>
      <w:r>
        <w:t>Die Anforderung an das Hochschulsystem müssten deutlicher nach einem anzustrebenden, politisch wünschenswerten Generalziel und den wirklich u</w:t>
      </w:r>
      <w:r>
        <w:t>m</w:t>
      </w:r>
      <w:r>
        <w:t>setzbaren Zwischenzeilen unterschieden werden. In der jetzigen Fassung wird etwas formuliert, dass zu wenig umsetzbar erscheint, als dass es nicht Ve</w:t>
      </w:r>
      <w:r>
        <w:t>r</w:t>
      </w:r>
      <w:r>
        <w:t>meidungsstrategien hervorrufen müsst</w:t>
      </w:r>
      <w:r w:rsidR="00C76143">
        <w:t>e</w:t>
      </w:r>
      <w:r>
        <w:t xml:space="preserve">. </w:t>
      </w:r>
    </w:p>
    <w:p w:rsidR="00C76143" w:rsidRDefault="00DE43C6" w:rsidP="00DE43C6">
      <w:pPr>
        <w:pStyle w:val="NurText"/>
        <w:numPr>
          <w:ilvl w:val="0"/>
          <w:numId w:val="5"/>
        </w:numPr>
        <w:ind w:left="357" w:hanging="357"/>
        <w:jc w:val="both"/>
      </w:pPr>
      <w:r>
        <w:t>Die erforderlichen Umsetzungsschritte müssten durch Referenzbeispiel</w:t>
      </w:r>
      <w:r w:rsidR="00C76143">
        <w:t>e / best practice</w:t>
      </w:r>
      <w:r>
        <w:t xml:space="preserve"> </w:t>
      </w:r>
      <w:r w:rsidR="00C76143">
        <w:t>illustriert und</w:t>
      </w:r>
      <w:r>
        <w:t xml:space="preserve"> Umsetzungsprozess</w:t>
      </w:r>
      <w:r w:rsidR="00C76143">
        <w:t>e</w:t>
      </w:r>
      <w:r>
        <w:t xml:space="preserve"> skizziert werden, </w:t>
      </w:r>
      <w:r w:rsidR="00C76143">
        <w:t xml:space="preserve">in die sich </w:t>
      </w:r>
      <w:r>
        <w:t xml:space="preserve">die Akteure </w:t>
      </w:r>
      <w:r w:rsidR="00C76143">
        <w:t>mit ihren begrenzten Zeitbudget einbezogen sähen.</w:t>
      </w:r>
    </w:p>
    <w:p w:rsidR="00C76143" w:rsidRDefault="00C76143" w:rsidP="00C76143">
      <w:pPr>
        <w:pStyle w:val="NurText"/>
        <w:numPr>
          <w:ilvl w:val="0"/>
          <w:numId w:val="5"/>
        </w:numPr>
        <w:ind w:left="357" w:hanging="357"/>
        <w:jc w:val="both"/>
      </w:pPr>
      <w:r>
        <w:t xml:space="preserve">A </w:t>
      </w:r>
      <w:proofErr w:type="spellStart"/>
      <w:r>
        <w:t>propos</w:t>
      </w:r>
      <w:proofErr w:type="spellEnd"/>
      <w:r>
        <w:t xml:space="preserve"> Zweiter Brückenpfeiler: Vor allem für die Unternehmenstypen A und B müssten konkretere Ansatzpunkte für WTT-Aktivierungen genannt werden, als nur den Hochschulen eine Verpflichtung aufzuerlegen „nachzusuchen“. Gerade wenn die Hochschulen auf Sie zugingen, bräuchte es Vorschläge. Diese </w:t>
      </w:r>
      <w:r>
        <w:lastRenderedPageBreak/>
        <w:t>Vorschläge zu erarbeiten, könnte Teil des Umsetzungsprozesses werden. Di</w:t>
      </w:r>
      <w:r>
        <w:t>e</w:t>
      </w:r>
      <w:r>
        <w:t xml:space="preserve">se Suchen unter Einbeziehung der Unternehmen aus A und B zu starten, wäre jedenfalls mehr, als die in einer solchen Warten- auf-die-Hochschulen-Haltung zu belassen. Nachfrageorientierung setzt Nachfrage voraus. </w:t>
      </w:r>
    </w:p>
    <w:sectPr w:rsidR="00C76143" w:rsidSect="005A3437">
      <w:headerReference w:type="default" r:id="rId10"/>
      <w:footerReference w:type="default" r:id="rId11"/>
      <w:pgSz w:w="11906" w:h="16838"/>
      <w:pgMar w:top="1418" w:right="2268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15" w:rsidRDefault="004B5715" w:rsidP="00780A11">
      <w:pPr>
        <w:spacing w:after="0" w:line="240" w:lineRule="auto"/>
      </w:pPr>
      <w:r>
        <w:separator/>
      </w:r>
    </w:p>
  </w:endnote>
  <w:endnote w:type="continuationSeparator" w:id="0">
    <w:p w:rsidR="004B5715" w:rsidRDefault="004B5715" w:rsidP="0078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55" w:rsidRDefault="004B1A55" w:rsidP="00780A11">
    <w:pPr>
      <w:pStyle w:val="Fuzeile"/>
      <w:jc w:val="right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E0AAE">
      <w:rPr>
        <w:b/>
        <w:noProof/>
      </w:rPr>
      <w:t>5</w:t>
    </w:r>
    <w:r>
      <w:rPr>
        <w:b/>
      </w:rPr>
      <w:fldChar w:fldCharType="end"/>
    </w:r>
    <w:r w:rsidRPr="00780A11">
      <w:rPr>
        <w:rFonts w:ascii="Arial" w:hAnsi="Arial" w:cs="Arial"/>
        <w:color w:val="A6A6A6"/>
        <w:sz w:val="36"/>
      </w:rPr>
      <w:t>│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E0AAE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15" w:rsidRDefault="004B5715" w:rsidP="00780A11">
      <w:pPr>
        <w:spacing w:after="0" w:line="240" w:lineRule="auto"/>
      </w:pPr>
      <w:r>
        <w:separator/>
      </w:r>
    </w:p>
  </w:footnote>
  <w:footnote w:type="continuationSeparator" w:id="0">
    <w:p w:rsidR="004B5715" w:rsidRDefault="004B5715" w:rsidP="00780A11">
      <w:pPr>
        <w:spacing w:after="0" w:line="240" w:lineRule="auto"/>
      </w:pPr>
      <w:r>
        <w:continuationSeparator/>
      </w:r>
    </w:p>
  </w:footnote>
  <w:footnote w:id="1">
    <w:p w:rsidR="004B1A55" w:rsidRPr="004C7162" w:rsidRDefault="004B1A55" w:rsidP="003F6314">
      <w:pPr>
        <w:pStyle w:val="Funotentext"/>
        <w:ind w:left="170" w:hanging="170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4C7162">
        <w:rPr>
          <w:sz w:val="16"/>
        </w:rPr>
        <w:t xml:space="preserve">Das Papier liegt erst seit dem 8.2.2012 vor und bedarf noch einer sorgfältigeren, unter den Hochschulen abgestimmte Prüfung hinsichtlich der </w:t>
      </w:r>
      <w:r>
        <w:rPr>
          <w:sz w:val="16"/>
        </w:rPr>
        <w:t>weitreichenden Konsequenzen der Empfehlungen, die durch das WZW moderiert werden könnte</w:t>
      </w:r>
    </w:p>
  </w:footnote>
  <w:footnote w:id="2">
    <w:p w:rsidR="004B1A55" w:rsidRPr="00F63275" w:rsidRDefault="004B1A55">
      <w:pPr>
        <w:pStyle w:val="Funotentext"/>
        <w:rPr>
          <w:sz w:val="16"/>
        </w:rPr>
      </w:pPr>
      <w:r w:rsidRPr="00F63275">
        <w:rPr>
          <w:rStyle w:val="Funotenzeichen"/>
          <w:sz w:val="16"/>
        </w:rPr>
        <w:footnoteRef/>
      </w:r>
      <w:r w:rsidRPr="00F63275">
        <w:rPr>
          <w:sz w:val="16"/>
        </w:rPr>
        <w:t xml:space="preserve"> </w:t>
      </w:r>
      <w:hyperlink r:id="rId1" w:history="1">
        <w:r w:rsidRPr="00F63275">
          <w:rPr>
            <w:rStyle w:val="Hyperlink"/>
            <w:sz w:val="16"/>
          </w:rPr>
          <w:t>http://www.wzw-lsa.de/publikationen/schriftenreihe.html</w:t>
        </w:r>
      </w:hyperlink>
      <w:r w:rsidRPr="00F63275">
        <w:rPr>
          <w:sz w:val="16"/>
        </w:rPr>
        <w:t xml:space="preserve"> - </w:t>
      </w:r>
      <w:r>
        <w:rPr>
          <w:sz w:val="16"/>
        </w:rPr>
        <w:t xml:space="preserve">in </w:t>
      </w:r>
      <w:r w:rsidRPr="00F63275">
        <w:rPr>
          <w:sz w:val="16"/>
        </w:rPr>
        <w:t xml:space="preserve">Nr. 01 </w:t>
      </w:r>
      <w:r>
        <w:rPr>
          <w:sz w:val="16"/>
        </w:rPr>
        <w:t>siehe Übersichten Hemmnisse</w:t>
      </w:r>
    </w:p>
  </w:footnote>
  <w:footnote w:id="3">
    <w:p w:rsidR="004B1A55" w:rsidRPr="002D0951" w:rsidRDefault="004B1A55">
      <w:pPr>
        <w:pStyle w:val="Funotentext"/>
        <w:rPr>
          <w:sz w:val="16"/>
        </w:rPr>
      </w:pPr>
      <w:r w:rsidRPr="002D0951">
        <w:rPr>
          <w:rStyle w:val="Funotenzeichen"/>
          <w:sz w:val="16"/>
        </w:rPr>
        <w:footnoteRef/>
      </w:r>
      <w:r w:rsidRPr="002D0951">
        <w:rPr>
          <w:sz w:val="16"/>
        </w:rPr>
        <w:t xml:space="preserve"> </w:t>
      </w:r>
      <w:r w:rsidRPr="002D0951">
        <w:rPr>
          <w:bCs/>
          <w:sz w:val="16"/>
          <w:szCs w:val="16"/>
        </w:rPr>
        <w:t xml:space="preserve">012, 5 </w:t>
      </w:r>
      <w:r w:rsidRPr="002D0951">
        <w:rPr>
          <w:rStyle w:val="Hervorhebung"/>
          <w:bCs/>
          <w:sz w:val="16"/>
          <w:szCs w:val="16"/>
        </w:rPr>
        <w:t xml:space="preserve">Romy Höhne / Peer Pasternack / Steffen </w:t>
      </w:r>
      <w:proofErr w:type="spellStart"/>
      <w:r w:rsidRPr="002D0951">
        <w:rPr>
          <w:rStyle w:val="Hervorhebung"/>
          <w:bCs/>
          <w:sz w:val="16"/>
          <w:szCs w:val="16"/>
        </w:rPr>
        <w:t>Zierold</w:t>
      </w:r>
      <w:proofErr w:type="spellEnd"/>
      <w:r>
        <w:rPr>
          <w:rStyle w:val="Hervorhebung"/>
          <w:bCs/>
          <w:sz w:val="16"/>
          <w:szCs w:val="16"/>
        </w:rPr>
        <w:t xml:space="preserve"> </w:t>
      </w:r>
      <w:r>
        <w:rPr>
          <w:sz w:val="16"/>
          <w:szCs w:val="16"/>
        </w:rPr>
        <w:t>(2012) E</w:t>
      </w:r>
      <w:r w:rsidRPr="002D0951">
        <w:rPr>
          <w:sz w:val="16"/>
          <w:szCs w:val="16"/>
        </w:rPr>
        <w:t xml:space="preserve">in Jahrzehnt Hochschule-und-Region-Gutachten </w:t>
      </w:r>
      <w:r>
        <w:rPr>
          <w:sz w:val="16"/>
          <w:szCs w:val="16"/>
        </w:rPr>
        <w:t>für den Aufbau Ost (2000-2010).</w:t>
      </w:r>
      <w:r>
        <w:rPr>
          <w:sz w:val="16"/>
        </w:rPr>
        <w:t xml:space="preserve"> </w:t>
      </w:r>
      <w:hyperlink r:id="rId2" w:history="1">
        <w:r w:rsidRPr="002D0951">
          <w:rPr>
            <w:rStyle w:val="Hyperlink"/>
            <w:sz w:val="16"/>
          </w:rPr>
          <w:t>http://www.hof.uni-halle.de/publikationen/hof_arbeitsberichte.htm</w:t>
        </w:r>
      </w:hyperlink>
      <w:r>
        <w:rPr>
          <w:sz w:val="16"/>
        </w:rPr>
        <w:t xml:space="preserve">, siehe auch S. 26/27 zu nichtöffentlichen Drittmitteln </w:t>
      </w:r>
    </w:p>
  </w:footnote>
  <w:footnote w:id="4">
    <w:p w:rsidR="004B1A55" w:rsidRPr="00762E5A" w:rsidRDefault="004B1A55" w:rsidP="00B94FB0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 w:rsidRPr="00762E5A">
        <w:rPr>
          <w:bCs/>
          <w:sz w:val="16"/>
        </w:rPr>
        <w:t>Die Biomasse-Forschungsplattform Sachsen-Anhalt: BIMAP</w:t>
      </w:r>
      <w:r w:rsidRPr="00762E5A">
        <w:rPr>
          <w:b/>
          <w:bCs/>
          <w:sz w:val="16"/>
        </w:rPr>
        <w:t xml:space="preserve"> </w:t>
      </w:r>
      <w:r w:rsidRPr="00762E5A">
        <w:rPr>
          <w:sz w:val="16"/>
        </w:rPr>
        <w:t>Schriftenreihe des WZW Nr. 08  Lutherstadt Wi</w:t>
      </w:r>
      <w:r w:rsidRPr="00762E5A">
        <w:rPr>
          <w:sz w:val="16"/>
        </w:rPr>
        <w:t>t</w:t>
      </w:r>
      <w:r w:rsidRPr="00762E5A">
        <w:rPr>
          <w:sz w:val="16"/>
        </w:rPr>
        <w:t>tenberg 2012, 84 S.</w:t>
      </w:r>
      <w:r>
        <w:rPr>
          <w:sz w:val="16"/>
        </w:rPr>
        <w:t xml:space="preserve"> - </w:t>
      </w:r>
      <w:hyperlink r:id="rId3" w:history="1">
        <w:r w:rsidRPr="00762E5A">
          <w:rPr>
            <w:rStyle w:val="Hyperlink"/>
            <w:sz w:val="16"/>
          </w:rPr>
          <w:t>http://www.wzw-lsa.de/publikationen/schriftenreihe.html</w:t>
        </w:r>
      </w:hyperlink>
    </w:p>
  </w:footnote>
  <w:footnote w:id="5">
    <w:p w:rsidR="004B1A55" w:rsidRDefault="004B1A55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4" w:history="1">
        <w:r w:rsidRPr="00063CD2">
          <w:rPr>
            <w:rStyle w:val="Hyperlink"/>
            <w:sz w:val="16"/>
          </w:rPr>
          <w:t>http://www.studieren.sachsen.de/download/Hochschulentwicklungsplan_2020.pdf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55" w:rsidRPr="00335FF5" w:rsidRDefault="004B1A55" w:rsidP="00335FF5">
    <w:pPr>
      <w:pStyle w:val="Kopfzeile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RIS3 – Erste Einschätzung durch WZW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1F66"/>
    <w:multiLevelType w:val="hybridMultilevel"/>
    <w:tmpl w:val="8F262A70"/>
    <w:lvl w:ilvl="0" w:tplc="0407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>
    <w:nsid w:val="441B7452"/>
    <w:multiLevelType w:val="hybridMultilevel"/>
    <w:tmpl w:val="85D0E958"/>
    <w:lvl w:ilvl="0" w:tplc="0407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2">
    <w:nsid w:val="60A436C0"/>
    <w:multiLevelType w:val="hybridMultilevel"/>
    <w:tmpl w:val="1F3A531A"/>
    <w:lvl w:ilvl="0" w:tplc="FA80A7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E478E"/>
    <w:multiLevelType w:val="hybridMultilevel"/>
    <w:tmpl w:val="B8983E66"/>
    <w:lvl w:ilvl="0" w:tplc="04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7CA51569"/>
    <w:multiLevelType w:val="hybridMultilevel"/>
    <w:tmpl w:val="29AAC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62"/>
    <w:rsid w:val="000277E4"/>
    <w:rsid w:val="00063CD2"/>
    <w:rsid w:val="000767C3"/>
    <w:rsid w:val="000A60C9"/>
    <w:rsid w:val="000B760E"/>
    <w:rsid w:val="000D4F34"/>
    <w:rsid w:val="000D7D93"/>
    <w:rsid w:val="000E5C5F"/>
    <w:rsid w:val="000F1D4C"/>
    <w:rsid w:val="00107EEB"/>
    <w:rsid w:val="0012671F"/>
    <w:rsid w:val="0018374A"/>
    <w:rsid w:val="001E0AFD"/>
    <w:rsid w:val="001F28F8"/>
    <w:rsid w:val="0020709A"/>
    <w:rsid w:val="002575AF"/>
    <w:rsid w:val="0029744A"/>
    <w:rsid w:val="002D0951"/>
    <w:rsid w:val="002D3848"/>
    <w:rsid w:val="002F6627"/>
    <w:rsid w:val="00300342"/>
    <w:rsid w:val="0033346A"/>
    <w:rsid w:val="00335FF5"/>
    <w:rsid w:val="00380F8E"/>
    <w:rsid w:val="00384C1C"/>
    <w:rsid w:val="003A0F1E"/>
    <w:rsid w:val="003E0AAE"/>
    <w:rsid w:val="003E37F7"/>
    <w:rsid w:val="003F6314"/>
    <w:rsid w:val="0044097A"/>
    <w:rsid w:val="0047567D"/>
    <w:rsid w:val="004A7FE2"/>
    <w:rsid w:val="004B1A55"/>
    <w:rsid w:val="004B3AD7"/>
    <w:rsid w:val="004B5715"/>
    <w:rsid w:val="004C5644"/>
    <w:rsid w:val="004C7162"/>
    <w:rsid w:val="00542BDB"/>
    <w:rsid w:val="005709C5"/>
    <w:rsid w:val="00583977"/>
    <w:rsid w:val="0059339E"/>
    <w:rsid w:val="005A3437"/>
    <w:rsid w:val="005E145D"/>
    <w:rsid w:val="005F4D2C"/>
    <w:rsid w:val="00682E40"/>
    <w:rsid w:val="006C1E70"/>
    <w:rsid w:val="006D6FE8"/>
    <w:rsid w:val="006F5055"/>
    <w:rsid w:val="007257E8"/>
    <w:rsid w:val="00755CFA"/>
    <w:rsid w:val="00762E5A"/>
    <w:rsid w:val="0076694A"/>
    <w:rsid w:val="00780A11"/>
    <w:rsid w:val="007E3B20"/>
    <w:rsid w:val="00851017"/>
    <w:rsid w:val="008A6FB4"/>
    <w:rsid w:val="0090124F"/>
    <w:rsid w:val="00934FB3"/>
    <w:rsid w:val="00961147"/>
    <w:rsid w:val="00967200"/>
    <w:rsid w:val="009A11FE"/>
    <w:rsid w:val="009B0339"/>
    <w:rsid w:val="009C62D5"/>
    <w:rsid w:val="009D4808"/>
    <w:rsid w:val="00A26BF8"/>
    <w:rsid w:val="00A375CF"/>
    <w:rsid w:val="00A50034"/>
    <w:rsid w:val="00AB75F7"/>
    <w:rsid w:val="00AC09D5"/>
    <w:rsid w:val="00AC0BB0"/>
    <w:rsid w:val="00AE238D"/>
    <w:rsid w:val="00B51756"/>
    <w:rsid w:val="00B732E8"/>
    <w:rsid w:val="00B93CAE"/>
    <w:rsid w:val="00B94FB0"/>
    <w:rsid w:val="00BD495A"/>
    <w:rsid w:val="00BD55C9"/>
    <w:rsid w:val="00BF0449"/>
    <w:rsid w:val="00BF18E2"/>
    <w:rsid w:val="00C02A1D"/>
    <w:rsid w:val="00C04710"/>
    <w:rsid w:val="00C210CC"/>
    <w:rsid w:val="00C225D3"/>
    <w:rsid w:val="00C41860"/>
    <w:rsid w:val="00C76143"/>
    <w:rsid w:val="00D03AF2"/>
    <w:rsid w:val="00D14CA4"/>
    <w:rsid w:val="00D50514"/>
    <w:rsid w:val="00D55CF4"/>
    <w:rsid w:val="00DA2986"/>
    <w:rsid w:val="00DD30A3"/>
    <w:rsid w:val="00DE3B6A"/>
    <w:rsid w:val="00DE43C6"/>
    <w:rsid w:val="00DF7F3E"/>
    <w:rsid w:val="00E9728A"/>
    <w:rsid w:val="00EA1C56"/>
    <w:rsid w:val="00EB6846"/>
    <w:rsid w:val="00ED15CE"/>
    <w:rsid w:val="00EF4D08"/>
    <w:rsid w:val="00EF5722"/>
    <w:rsid w:val="00F63275"/>
    <w:rsid w:val="00F85EA8"/>
    <w:rsid w:val="00F90306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107EEB"/>
    <w:pPr>
      <w:spacing w:after="0" w:line="240" w:lineRule="auto"/>
    </w:pPr>
    <w:rPr>
      <w:szCs w:val="21"/>
    </w:rPr>
  </w:style>
  <w:style w:type="character" w:customStyle="1" w:styleId="NurTextZchn">
    <w:name w:val="Nur Text Zchn"/>
    <w:link w:val="NurText"/>
    <w:uiPriority w:val="99"/>
    <w:rsid w:val="00107EEB"/>
    <w:rPr>
      <w:sz w:val="22"/>
      <w:szCs w:val="21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80A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80A1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80A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0A11"/>
    <w:rPr>
      <w:sz w:val="22"/>
      <w:szCs w:val="22"/>
      <w:lang w:eastAsia="en-US"/>
    </w:rPr>
  </w:style>
  <w:style w:type="paragraph" w:customStyle="1" w:styleId="Default">
    <w:name w:val="Default"/>
    <w:rsid w:val="004C71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71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7162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C716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6327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84C1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2D0951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A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107EEB"/>
    <w:pPr>
      <w:spacing w:after="0" w:line="240" w:lineRule="auto"/>
    </w:pPr>
    <w:rPr>
      <w:szCs w:val="21"/>
    </w:rPr>
  </w:style>
  <w:style w:type="character" w:customStyle="1" w:styleId="NurTextZchn">
    <w:name w:val="Nur Text Zchn"/>
    <w:link w:val="NurText"/>
    <w:uiPriority w:val="99"/>
    <w:rsid w:val="00107EEB"/>
    <w:rPr>
      <w:sz w:val="22"/>
      <w:szCs w:val="21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80A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80A1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80A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0A11"/>
    <w:rPr>
      <w:sz w:val="22"/>
      <w:szCs w:val="22"/>
      <w:lang w:eastAsia="en-US"/>
    </w:rPr>
  </w:style>
  <w:style w:type="paragraph" w:customStyle="1" w:styleId="Default">
    <w:name w:val="Default"/>
    <w:rsid w:val="004C71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71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7162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C716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6327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84C1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2D0951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A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zw-lsa.de/publikationen/schriftenreihe.html" TargetMode="External"/><Relationship Id="rId2" Type="http://schemas.openxmlformats.org/officeDocument/2006/relationships/hyperlink" Target="http://www.hof.uni-halle.de/publikationen/hof_arbeitsberichte.htm" TargetMode="External"/><Relationship Id="rId1" Type="http://schemas.openxmlformats.org/officeDocument/2006/relationships/hyperlink" Target="http://www.wzw-lsa.de/publikationen/schriftenreihe.html" TargetMode="External"/><Relationship Id="rId4" Type="http://schemas.openxmlformats.org/officeDocument/2006/relationships/hyperlink" Target="http://www.studieren.sachsen.de/download/Hochschulentwicklungsplan_202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W\Eigene%20Vorlagen\_wz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3856-94A9-4F79-B481-C6BD5426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_wzw.dotx</Template>
  <TotalTime>0</TotalTime>
  <Pages>5</Pages>
  <Words>1930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WZW</dc:creator>
  <cp:lastModifiedBy>WZW</cp:lastModifiedBy>
  <cp:revision>4</cp:revision>
  <dcterms:created xsi:type="dcterms:W3CDTF">2013-02-15T10:19:00Z</dcterms:created>
  <dcterms:modified xsi:type="dcterms:W3CDTF">2013-02-18T04:58:00Z</dcterms:modified>
</cp:coreProperties>
</file>